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宋体" w:eastAsia="方正小标宋_GBK"/>
          <w:b w:val="0"/>
          <w:bCs/>
          <w:color w:val="auto"/>
          <w:sz w:val="36"/>
          <w:szCs w:val="36"/>
          <w:highlight w:val="none"/>
        </w:rPr>
      </w:pPr>
      <w:bookmarkStart w:id="1" w:name="_GoBack"/>
      <w:bookmarkEnd w:id="1"/>
      <w:r>
        <w:rPr>
          <w:rFonts w:hint="eastAsia" w:ascii="方正小标宋_GBK" w:hAnsi="宋体" w:eastAsia="方正小标宋_GBK"/>
          <w:b w:val="0"/>
          <w:bCs/>
          <w:color w:val="auto"/>
          <w:sz w:val="36"/>
          <w:szCs w:val="36"/>
          <w:highlight w:val="none"/>
        </w:rPr>
        <w:t>宁陵德商村镇银行股份有限公司201</w:t>
      </w:r>
      <w:r>
        <w:rPr>
          <w:rFonts w:hint="eastAsia" w:ascii="方正小标宋_GBK" w:hAnsi="宋体" w:eastAsia="方正小标宋_GBK"/>
          <w:b w:val="0"/>
          <w:bCs/>
          <w:color w:val="auto"/>
          <w:sz w:val="36"/>
          <w:szCs w:val="36"/>
          <w:highlight w:val="none"/>
          <w:lang w:val="en-US" w:eastAsia="zh-CN"/>
        </w:rPr>
        <w:t>9</w:t>
      </w:r>
      <w:r>
        <w:rPr>
          <w:rFonts w:hint="eastAsia" w:ascii="方正小标宋_GBK" w:hAnsi="宋体" w:eastAsia="方正小标宋_GBK"/>
          <w:b w:val="0"/>
          <w:bCs/>
          <w:color w:val="auto"/>
          <w:sz w:val="36"/>
          <w:szCs w:val="36"/>
          <w:highlight w:val="none"/>
        </w:rPr>
        <w:t>年度报告</w:t>
      </w:r>
    </w:p>
    <w:p>
      <w:pPr>
        <w:spacing w:line="540" w:lineRule="exact"/>
        <w:jc w:val="center"/>
        <w:rPr>
          <w:rFonts w:ascii="仿宋_GB2312" w:hAnsi="宋体" w:eastAsia="仿宋_GB2312" w:cs="Tahoma"/>
          <w:b/>
          <w:color w:val="auto"/>
          <w:kern w:val="0"/>
          <w:sz w:val="30"/>
          <w:szCs w:val="30"/>
          <w:highlight w:val="none"/>
        </w:rPr>
      </w:pPr>
    </w:p>
    <w:p>
      <w:pPr>
        <w:spacing w:line="540" w:lineRule="exact"/>
        <w:jc w:val="center"/>
        <w:rPr>
          <w:rFonts w:ascii="黑体" w:hAnsi="黑体" w:eastAsia="黑体"/>
          <w:color w:val="auto"/>
          <w:sz w:val="30"/>
          <w:szCs w:val="30"/>
          <w:highlight w:val="none"/>
        </w:rPr>
      </w:pPr>
      <w:r>
        <w:rPr>
          <w:rFonts w:hint="eastAsia" w:ascii="黑体" w:hAnsi="黑体" w:eastAsia="黑体" w:cs="Tahoma"/>
          <w:color w:val="auto"/>
          <w:kern w:val="0"/>
          <w:sz w:val="30"/>
          <w:szCs w:val="30"/>
          <w:highlight w:val="none"/>
        </w:rPr>
        <w:t>第一章　</w:t>
      </w:r>
      <w:r>
        <w:rPr>
          <w:rFonts w:hint="eastAsia" w:ascii="黑体" w:hAnsi="黑体" w:eastAsia="黑体"/>
          <w:color w:val="auto"/>
          <w:sz w:val="30"/>
          <w:szCs w:val="30"/>
          <w:highlight w:val="none"/>
        </w:rPr>
        <w:t>重要提示</w:t>
      </w:r>
    </w:p>
    <w:p>
      <w:pPr>
        <w:spacing w:line="540" w:lineRule="exact"/>
        <w:ind w:firstLine="600" w:firstLineChars="200"/>
        <w:rPr>
          <w:rFonts w:ascii="仿宋_GB2312" w:hAnsi="ˎ̥" w:eastAsia="仿宋_GB2312" w:cs="Tahoma"/>
          <w:color w:val="auto"/>
          <w:kern w:val="0"/>
          <w:sz w:val="30"/>
          <w:szCs w:val="30"/>
          <w:highlight w:val="none"/>
        </w:rPr>
      </w:pPr>
      <w:r>
        <w:rPr>
          <w:rFonts w:hint="eastAsia" w:ascii="仿宋_GB2312" w:hAnsi="ˎ̥" w:eastAsia="仿宋_GB2312" w:cs="Tahoma"/>
          <w:color w:val="auto"/>
          <w:kern w:val="0"/>
          <w:sz w:val="30"/>
          <w:szCs w:val="30"/>
          <w:highlight w:val="none"/>
        </w:rPr>
        <w:t>宁陵德商村镇银行股份有限公司（下称“本行”）董事会保证本报告所载资料不存在任何</w:t>
      </w:r>
      <w:r>
        <w:rPr>
          <w:rFonts w:hint="eastAsia" w:ascii="仿宋_GB2312" w:eastAsia="仿宋_GB2312"/>
          <w:color w:val="auto"/>
          <w:sz w:val="30"/>
          <w:szCs w:val="30"/>
          <w:highlight w:val="none"/>
        </w:rPr>
        <w:t>虚假记载、误导性陈述或者重大遗漏</w:t>
      </w:r>
      <w:r>
        <w:rPr>
          <w:rFonts w:hint="eastAsia" w:ascii="仿宋_GB2312" w:hAnsi="ˎ̥" w:eastAsia="仿宋_GB2312" w:cs="Tahoma"/>
          <w:color w:val="auto"/>
          <w:kern w:val="0"/>
          <w:sz w:val="30"/>
          <w:szCs w:val="30"/>
          <w:highlight w:val="none"/>
        </w:rPr>
        <w:t>，并对其内容的真实性、准确性和完整性承担个别及连带责任。</w:t>
      </w:r>
    </w:p>
    <w:p>
      <w:pPr>
        <w:spacing w:line="540" w:lineRule="exact"/>
        <w:ind w:firstLine="600" w:firstLineChars="200"/>
        <w:rPr>
          <w:rFonts w:ascii="仿宋_GB2312" w:hAnsi="ˎ̥" w:eastAsia="仿宋_GB2312" w:cs="Tahoma"/>
          <w:color w:val="auto"/>
          <w:kern w:val="0"/>
          <w:sz w:val="30"/>
          <w:szCs w:val="30"/>
          <w:highlight w:val="none"/>
        </w:rPr>
      </w:pPr>
      <w:r>
        <w:rPr>
          <w:rFonts w:hint="eastAsia" w:ascii="仿宋_GB2312" w:hAnsi="ˎ̥" w:eastAsia="仿宋_GB2312" w:cs="Tahoma"/>
          <w:color w:val="auto"/>
          <w:kern w:val="0"/>
          <w:sz w:val="30"/>
          <w:szCs w:val="30"/>
          <w:highlight w:val="none"/>
        </w:rPr>
        <w:t>本行年度财务报告已经</w:t>
      </w:r>
      <w:r>
        <w:rPr>
          <w:rFonts w:hint="eastAsia" w:ascii="仿宋_GB2312" w:hAnsi="仿宋_GB2312" w:eastAsia="仿宋_GB2312" w:cs="仿宋_GB2312"/>
          <w:color w:val="auto"/>
          <w:sz w:val="30"/>
          <w:szCs w:val="30"/>
          <w:highlight w:val="none"/>
        </w:rPr>
        <w:t>浙江</w:t>
      </w:r>
      <w:r>
        <w:rPr>
          <w:rFonts w:hint="eastAsia" w:ascii="仿宋_GB2312" w:hAnsi="仿宋_GB2312" w:eastAsia="仿宋_GB2312" w:cs="仿宋_GB2312"/>
          <w:color w:val="auto"/>
          <w:sz w:val="30"/>
          <w:szCs w:val="30"/>
          <w:highlight w:val="none"/>
          <w:lang w:eastAsia="zh-CN"/>
        </w:rPr>
        <w:t>普华</w:t>
      </w:r>
      <w:r>
        <w:rPr>
          <w:rFonts w:hint="eastAsia" w:ascii="仿宋_GB2312" w:hAnsi="仿宋_GB2312" w:eastAsia="仿宋_GB2312" w:cs="仿宋_GB2312"/>
          <w:color w:val="auto"/>
          <w:sz w:val="30"/>
          <w:szCs w:val="30"/>
          <w:highlight w:val="none"/>
        </w:rPr>
        <w:t>会计师事务所</w:t>
      </w:r>
      <w:r>
        <w:rPr>
          <w:rFonts w:hint="eastAsia" w:ascii="仿宋_GB2312" w:hAnsi="ˎ̥" w:eastAsia="仿宋_GB2312" w:cs="Tahoma"/>
          <w:color w:val="auto"/>
          <w:kern w:val="0"/>
          <w:sz w:val="30"/>
          <w:szCs w:val="30"/>
          <w:highlight w:val="none"/>
        </w:rPr>
        <w:t>有限公司根据中国注册会计师独立审计准则审计并出具了标准无保留意见的审计报告。</w:t>
      </w:r>
    </w:p>
    <w:p>
      <w:pPr>
        <w:spacing w:line="540" w:lineRule="exact"/>
        <w:ind w:firstLine="600" w:firstLineChars="200"/>
        <w:rPr>
          <w:rFonts w:ascii="仿宋_GB2312" w:hAnsi="ˎ̥" w:eastAsia="仿宋_GB2312" w:cs="Tahoma"/>
          <w:color w:val="auto"/>
          <w:kern w:val="0"/>
          <w:sz w:val="30"/>
          <w:szCs w:val="30"/>
          <w:highlight w:val="none"/>
        </w:rPr>
      </w:pPr>
      <w:r>
        <w:rPr>
          <w:rFonts w:hint="eastAsia" w:ascii="仿宋_GB2312" w:hAnsi="ˎ̥" w:eastAsia="仿宋_GB2312" w:cs="Tahoma"/>
          <w:color w:val="auto"/>
          <w:kern w:val="0"/>
          <w:sz w:val="30"/>
          <w:szCs w:val="30"/>
          <w:highlight w:val="none"/>
        </w:rPr>
        <w:t>本行董事长沈少平、行长乔翠莲、</w:t>
      </w:r>
      <w:r>
        <w:rPr>
          <w:rFonts w:hint="eastAsia" w:ascii="仿宋_GB2312" w:eastAsia="仿宋_GB2312"/>
          <w:color w:val="auto"/>
          <w:sz w:val="30"/>
          <w:szCs w:val="30"/>
          <w:highlight w:val="none"/>
          <w:lang w:eastAsia="zh-CN"/>
        </w:rPr>
        <w:t>财务运管部主管周彩红</w:t>
      </w:r>
      <w:r>
        <w:rPr>
          <w:rFonts w:hint="eastAsia" w:ascii="仿宋_GB2312" w:eastAsia="仿宋_GB2312"/>
          <w:color w:val="auto"/>
          <w:sz w:val="30"/>
          <w:szCs w:val="30"/>
          <w:highlight w:val="none"/>
        </w:rPr>
        <w:t>，</w:t>
      </w:r>
      <w:r>
        <w:rPr>
          <w:rFonts w:hint="eastAsia" w:ascii="仿宋_GB2312" w:hAnsi="ˎ̥" w:eastAsia="仿宋_GB2312" w:cs="Tahoma"/>
          <w:color w:val="auto"/>
          <w:kern w:val="0"/>
          <w:sz w:val="30"/>
          <w:szCs w:val="30"/>
          <w:highlight w:val="none"/>
        </w:rPr>
        <w:t>保证年度报告中财务报告的真实、完整。</w:t>
      </w:r>
      <w:bookmarkStart w:id="0" w:name="OLE_LINK3"/>
    </w:p>
    <w:p>
      <w:pPr>
        <w:spacing w:line="540" w:lineRule="exact"/>
        <w:jc w:val="center"/>
        <w:rPr>
          <w:rFonts w:ascii="仿宋_GB2312" w:hAnsi="宋体" w:eastAsia="仿宋_GB2312" w:cs="Tahoma"/>
          <w:b/>
          <w:color w:val="auto"/>
          <w:kern w:val="0"/>
          <w:sz w:val="30"/>
          <w:szCs w:val="30"/>
          <w:highlight w:val="none"/>
        </w:rPr>
      </w:pPr>
    </w:p>
    <w:p>
      <w:pPr>
        <w:spacing w:line="540" w:lineRule="exact"/>
        <w:jc w:val="center"/>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第二章　公司简介</w:t>
      </w:r>
    </w:p>
    <w:bookmarkEnd w:id="0"/>
    <w:p>
      <w:pPr>
        <w:spacing w:line="540" w:lineRule="exact"/>
        <w:ind w:firstLine="600" w:firstLineChars="200"/>
        <w:rPr>
          <w:rFonts w:ascii="黑体" w:hAnsi="黑体" w:eastAsia="黑体"/>
          <w:color w:val="auto"/>
          <w:sz w:val="30"/>
          <w:szCs w:val="30"/>
          <w:highlight w:val="none"/>
        </w:rPr>
      </w:pPr>
      <w:r>
        <w:rPr>
          <w:rFonts w:hint="eastAsia" w:ascii="黑体" w:hAnsi="黑体" w:eastAsia="黑体"/>
          <w:color w:val="auto"/>
          <w:sz w:val="30"/>
          <w:szCs w:val="30"/>
          <w:highlight w:val="none"/>
        </w:rPr>
        <w:t>一、本行简介</w:t>
      </w:r>
    </w:p>
    <w:p>
      <w:pPr>
        <w:spacing w:line="540" w:lineRule="exact"/>
        <w:ind w:firstLine="602" w:firstLineChars="200"/>
        <w:rPr>
          <w:rFonts w:ascii="仿宋_GB2312" w:eastAsia="仿宋_GB2312"/>
          <w:b/>
          <w:color w:val="auto"/>
          <w:sz w:val="30"/>
          <w:szCs w:val="30"/>
          <w:highlight w:val="none"/>
        </w:rPr>
      </w:pPr>
      <w:r>
        <w:rPr>
          <w:rFonts w:hint="eastAsia" w:ascii="仿宋_GB2312" w:eastAsia="仿宋_GB2312"/>
          <w:b/>
          <w:color w:val="auto"/>
          <w:sz w:val="30"/>
          <w:szCs w:val="30"/>
          <w:highlight w:val="none"/>
        </w:rPr>
        <w:t>（一）法定名称</w:t>
      </w:r>
    </w:p>
    <w:p>
      <w:pPr>
        <w:spacing w:line="54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中文名称：宁陵德商村镇银行股份有限公司（简称“宁陵德商村镇银行”）</w:t>
      </w:r>
    </w:p>
    <w:p>
      <w:pPr>
        <w:spacing w:line="54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英文名称：</w:t>
      </w:r>
      <w:r>
        <w:rPr>
          <w:rFonts w:ascii="仿宋_GB2312" w:eastAsia="仿宋_GB2312"/>
          <w:color w:val="auto"/>
          <w:sz w:val="30"/>
          <w:szCs w:val="30"/>
          <w:highlight w:val="none"/>
        </w:rPr>
        <w:t>NingLing DeShang County Bank</w:t>
      </w:r>
      <w:r>
        <w:rPr>
          <w:rFonts w:hint="eastAsia" w:ascii="仿宋_GB2312" w:eastAsia="仿宋_GB2312"/>
          <w:color w:val="auto"/>
          <w:sz w:val="30"/>
          <w:szCs w:val="30"/>
          <w:highlight w:val="none"/>
        </w:rPr>
        <w:t>或</w:t>
      </w:r>
      <w:r>
        <w:rPr>
          <w:rFonts w:ascii="仿宋_GB2312" w:eastAsia="仿宋_GB2312"/>
          <w:color w:val="auto"/>
          <w:sz w:val="30"/>
          <w:szCs w:val="30"/>
          <w:highlight w:val="none"/>
        </w:rPr>
        <w:t>NDCbank</w:t>
      </w:r>
    </w:p>
    <w:p>
      <w:pPr>
        <w:spacing w:line="540" w:lineRule="exact"/>
        <w:ind w:firstLine="602" w:firstLineChars="200"/>
        <w:rPr>
          <w:rFonts w:ascii="仿宋_GB2312" w:eastAsia="仿宋_GB2312"/>
          <w:color w:val="auto"/>
          <w:sz w:val="30"/>
          <w:szCs w:val="30"/>
          <w:highlight w:val="none"/>
        </w:rPr>
      </w:pPr>
      <w:r>
        <w:rPr>
          <w:rFonts w:hint="eastAsia" w:ascii="仿宋_GB2312" w:eastAsia="仿宋_GB2312"/>
          <w:b/>
          <w:color w:val="auto"/>
          <w:sz w:val="30"/>
          <w:szCs w:val="30"/>
          <w:highlight w:val="none"/>
        </w:rPr>
        <w:t>（二）法定代表人：</w:t>
      </w:r>
      <w:r>
        <w:rPr>
          <w:rFonts w:hint="eastAsia" w:ascii="仿宋_GB2312" w:eastAsia="仿宋_GB2312"/>
          <w:color w:val="auto"/>
          <w:sz w:val="30"/>
          <w:szCs w:val="30"/>
          <w:highlight w:val="none"/>
        </w:rPr>
        <w:t>沈少平</w:t>
      </w:r>
    </w:p>
    <w:p>
      <w:pPr>
        <w:spacing w:line="540" w:lineRule="exact"/>
        <w:ind w:firstLine="602" w:firstLineChars="200"/>
        <w:rPr>
          <w:rFonts w:ascii="仿宋_GB2312" w:eastAsia="仿宋_GB2312"/>
          <w:color w:val="auto"/>
          <w:sz w:val="30"/>
          <w:szCs w:val="30"/>
          <w:highlight w:val="none"/>
        </w:rPr>
      </w:pPr>
      <w:r>
        <w:rPr>
          <w:rFonts w:hint="eastAsia" w:ascii="仿宋_GB2312" w:eastAsia="仿宋_GB2312"/>
          <w:b/>
          <w:color w:val="auto"/>
          <w:sz w:val="30"/>
          <w:szCs w:val="30"/>
          <w:highlight w:val="none"/>
        </w:rPr>
        <w:t>（三）本行注册及办公地址：</w:t>
      </w:r>
      <w:r>
        <w:rPr>
          <w:rFonts w:hint="eastAsia" w:ascii="仿宋_GB2312" w:eastAsia="仿宋_GB2312"/>
          <w:b w:val="0"/>
          <w:bCs/>
          <w:color w:val="auto"/>
          <w:sz w:val="30"/>
          <w:szCs w:val="30"/>
          <w:highlight w:val="none"/>
          <w:lang w:eastAsia="zh-CN"/>
        </w:rPr>
        <w:t>河南省</w:t>
      </w:r>
      <w:r>
        <w:rPr>
          <w:rFonts w:hint="eastAsia" w:ascii="仿宋_GB2312" w:eastAsia="仿宋_GB2312"/>
          <w:color w:val="auto"/>
          <w:sz w:val="30"/>
          <w:szCs w:val="30"/>
          <w:highlight w:val="none"/>
        </w:rPr>
        <w:t>宁陵县长江路与建设路交叉口北</w:t>
      </w:r>
      <w:r>
        <w:rPr>
          <w:rFonts w:ascii="仿宋_GB2312" w:eastAsia="仿宋_GB2312"/>
          <w:color w:val="auto"/>
          <w:sz w:val="30"/>
          <w:szCs w:val="30"/>
          <w:highlight w:val="none"/>
        </w:rPr>
        <w:t>300</w:t>
      </w:r>
      <w:r>
        <w:rPr>
          <w:rFonts w:hint="eastAsia" w:ascii="仿宋_GB2312" w:eastAsia="仿宋_GB2312"/>
          <w:color w:val="auto"/>
          <w:sz w:val="30"/>
          <w:szCs w:val="30"/>
          <w:highlight w:val="none"/>
        </w:rPr>
        <w:t>米路西</w:t>
      </w:r>
    </w:p>
    <w:p>
      <w:pPr>
        <w:spacing w:line="54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邮政编码：</w:t>
      </w:r>
      <w:r>
        <w:rPr>
          <w:rFonts w:ascii="仿宋_GB2312" w:eastAsia="仿宋_GB2312"/>
          <w:color w:val="auto"/>
          <w:sz w:val="30"/>
          <w:szCs w:val="30"/>
          <w:highlight w:val="none"/>
        </w:rPr>
        <w:t>476700</w:t>
      </w:r>
    </w:p>
    <w:p>
      <w:pPr>
        <w:spacing w:line="540" w:lineRule="exact"/>
        <w:ind w:firstLine="602" w:firstLineChars="200"/>
        <w:rPr>
          <w:rFonts w:ascii="仿宋_GB2312" w:eastAsia="仿宋_GB2312"/>
          <w:b/>
          <w:color w:val="auto"/>
          <w:sz w:val="30"/>
          <w:szCs w:val="30"/>
          <w:highlight w:val="none"/>
        </w:rPr>
      </w:pPr>
      <w:r>
        <w:rPr>
          <w:rFonts w:hint="eastAsia" w:ascii="仿宋_GB2312" w:eastAsia="仿宋_GB2312"/>
          <w:b/>
          <w:color w:val="auto"/>
          <w:sz w:val="30"/>
          <w:szCs w:val="30"/>
          <w:highlight w:val="none"/>
        </w:rPr>
        <w:t>（四）本行选定的信息披露方式：</w:t>
      </w:r>
    </w:p>
    <w:p>
      <w:pPr>
        <w:spacing w:line="540" w:lineRule="exact"/>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201</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年度报告摘要披露网站：</w:t>
      </w:r>
      <w:r>
        <w:rPr>
          <w:rFonts w:ascii="仿宋_GB2312" w:eastAsia="仿宋_GB2312"/>
          <w:color w:val="auto"/>
          <w:sz w:val="30"/>
          <w:szCs w:val="30"/>
          <w:highlight w:val="none"/>
        </w:rPr>
        <w:t>www.ndcbank.cn</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201</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年度报告备置地点：本行办公室及各主要营业场所</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信息披露事务联系人：朱韩英</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联系电话：</w:t>
      </w:r>
      <w:r>
        <w:rPr>
          <w:rFonts w:ascii="仿宋_GB2312" w:eastAsia="仿宋_GB2312"/>
          <w:color w:val="auto"/>
          <w:sz w:val="30"/>
          <w:szCs w:val="30"/>
          <w:highlight w:val="none"/>
        </w:rPr>
        <w:t>0370-50206</w:t>
      </w:r>
      <w:r>
        <w:rPr>
          <w:rFonts w:hint="eastAsia" w:ascii="仿宋_GB2312" w:eastAsia="仿宋_GB2312"/>
          <w:color w:val="auto"/>
          <w:sz w:val="30"/>
          <w:szCs w:val="30"/>
          <w:highlight w:val="none"/>
        </w:rPr>
        <w:t>78　　传真：</w:t>
      </w:r>
      <w:r>
        <w:rPr>
          <w:rFonts w:ascii="仿宋_GB2312" w:eastAsia="仿宋_GB2312"/>
          <w:color w:val="auto"/>
          <w:sz w:val="30"/>
          <w:szCs w:val="30"/>
          <w:highlight w:val="none"/>
        </w:rPr>
        <w:t>0370-502067</w:t>
      </w:r>
      <w:r>
        <w:rPr>
          <w:rFonts w:hint="eastAsia" w:ascii="仿宋_GB2312" w:eastAsia="仿宋_GB2312"/>
          <w:color w:val="auto"/>
          <w:sz w:val="30"/>
          <w:szCs w:val="30"/>
          <w:highlight w:val="none"/>
        </w:rPr>
        <w:t>5</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outlineLvl w:val="9"/>
        <w:rPr>
          <w:rFonts w:ascii="仿宋_GB2312" w:eastAsia="仿宋_GB2312"/>
          <w:b/>
          <w:color w:val="auto"/>
          <w:sz w:val="30"/>
          <w:szCs w:val="30"/>
          <w:highlight w:val="none"/>
        </w:rPr>
      </w:pPr>
      <w:r>
        <w:rPr>
          <w:rFonts w:hint="eastAsia" w:ascii="仿宋_GB2312" w:eastAsia="仿宋_GB2312"/>
          <w:b/>
          <w:color w:val="auto"/>
          <w:sz w:val="30"/>
          <w:szCs w:val="30"/>
          <w:highlight w:val="none"/>
        </w:rPr>
        <w:t>（五）本行聘请的会计师事务所名称及其住址</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名称：</w:t>
      </w:r>
      <w:r>
        <w:rPr>
          <w:rFonts w:hint="eastAsia" w:ascii="仿宋_GB2312" w:hAnsi="仿宋_GB2312" w:eastAsia="仿宋_GB2312" w:cs="仿宋_GB2312"/>
          <w:color w:val="auto"/>
          <w:sz w:val="30"/>
          <w:szCs w:val="30"/>
          <w:highlight w:val="none"/>
        </w:rPr>
        <w:t>浙江</w:t>
      </w:r>
      <w:r>
        <w:rPr>
          <w:rFonts w:hint="eastAsia" w:ascii="仿宋_GB2312" w:hAnsi="仿宋_GB2312" w:eastAsia="仿宋_GB2312" w:cs="仿宋_GB2312"/>
          <w:color w:val="auto"/>
          <w:sz w:val="30"/>
          <w:szCs w:val="30"/>
          <w:highlight w:val="none"/>
          <w:lang w:eastAsia="zh-CN"/>
        </w:rPr>
        <w:t>普华</w:t>
      </w:r>
      <w:r>
        <w:rPr>
          <w:rFonts w:hint="eastAsia" w:ascii="仿宋_GB2312" w:hAnsi="仿宋_GB2312" w:eastAsia="仿宋_GB2312" w:cs="仿宋_GB2312"/>
          <w:color w:val="auto"/>
          <w:sz w:val="30"/>
          <w:szCs w:val="30"/>
          <w:highlight w:val="none"/>
        </w:rPr>
        <w:t>会计师事务所</w:t>
      </w:r>
      <w:r>
        <w:rPr>
          <w:rFonts w:hint="eastAsia" w:ascii="仿宋_GB2312" w:hAnsi="ˎ̥" w:eastAsia="仿宋_GB2312" w:cs="Tahoma"/>
          <w:color w:val="auto"/>
          <w:kern w:val="0"/>
          <w:sz w:val="30"/>
          <w:szCs w:val="30"/>
          <w:highlight w:val="none"/>
        </w:rPr>
        <w:t>有限公司</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住址：</w:t>
      </w:r>
      <w:r>
        <w:rPr>
          <w:rFonts w:hint="eastAsia" w:ascii="仿宋_GB2312" w:eastAsia="仿宋_GB2312"/>
          <w:color w:val="auto"/>
          <w:sz w:val="30"/>
          <w:szCs w:val="30"/>
          <w:highlight w:val="none"/>
          <w:lang w:eastAsia="zh-CN"/>
        </w:rPr>
        <w:t>杭州市杭海路</w:t>
      </w:r>
      <w:r>
        <w:rPr>
          <w:rFonts w:hint="eastAsia" w:ascii="仿宋_GB2312" w:eastAsia="仿宋_GB2312"/>
          <w:color w:val="auto"/>
          <w:sz w:val="30"/>
          <w:szCs w:val="30"/>
          <w:highlight w:val="none"/>
          <w:lang w:val="en-US" w:eastAsia="zh-CN"/>
        </w:rPr>
        <w:t>238号森禾商务广场A座5楼</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outlineLvl w:val="9"/>
        <w:rPr>
          <w:rFonts w:hint="eastAsia" w:ascii="仿宋_GB2312" w:eastAsia="仿宋_GB2312"/>
          <w:b/>
          <w:color w:val="auto"/>
          <w:sz w:val="30"/>
          <w:szCs w:val="30"/>
          <w:highlight w:val="none"/>
        </w:rPr>
      </w:pPr>
      <w:r>
        <w:rPr>
          <w:rFonts w:hint="eastAsia" w:ascii="仿宋_GB2312" w:eastAsia="仿宋_GB2312"/>
          <w:b/>
          <w:color w:val="auto"/>
          <w:sz w:val="30"/>
          <w:szCs w:val="30"/>
          <w:highlight w:val="none"/>
        </w:rPr>
        <w:t>（六）从业人员构成情况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hint="eastAsia" w:ascii="仿宋_GB2312" w:eastAsia="仿宋_GB2312"/>
          <w:b/>
          <w:color w:val="auto"/>
          <w:sz w:val="30"/>
          <w:szCs w:val="30"/>
          <w:highlight w:val="none"/>
        </w:rPr>
      </w:pPr>
      <w:r>
        <w:rPr>
          <w:rFonts w:hint="eastAsia" w:ascii="仿宋_GB2312" w:eastAsia="仿宋_GB2312"/>
          <w:b w:val="0"/>
          <w:bCs/>
          <w:color w:val="auto"/>
          <w:sz w:val="30"/>
          <w:szCs w:val="30"/>
          <w:highlight w:val="none"/>
        </w:rPr>
        <w:t>至报告期末，</w:t>
      </w:r>
      <w:r>
        <w:rPr>
          <w:rFonts w:hint="eastAsia" w:ascii="仿宋_GB2312" w:hAnsi="ˎ̥" w:eastAsia="仿宋_GB2312" w:cs="Tahoma"/>
          <w:color w:val="auto"/>
          <w:kern w:val="0"/>
          <w:sz w:val="30"/>
          <w:szCs w:val="30"/>
          <w:highlight w:val="none"/>
        </w:rPr>
        <w:t>本行在岗员工</w:t>
      </w:r>
      <w:r>
        <w:rPr>
          <w:rFonts w:ascii="仿宋_GB2312" w:hAnsi="ˎ̥" w:eastAsia="仿宋_GB2312" w:cs="Tahoma"/>
          <w:color w:val="auto"/>
          <w:kern w:val="0"/>
          <w:sz w:val="30"/>
          <w:szCs w:val="30"/>
          <w:highlight w:val="none"/>
        </w:rPr>
        <w:t>73</w:t>
      </w:r>
      <w:r>
        <w:rPr>
          <w:rFonts w:hint="eastAsia" w:ascii="仿宋_GB2312" w:hAnsi="ˎ̥" w:eastAsia="仿宋_GB2312" w:cs="Tahoma"/>
          <w:color w:val="auto"/>
          <w:kern w:val="0"/>
          <w:sz w:val="30"/>
          <w:szCs w:val="30"/>
          <w:highlight w:val="none"/>
        </w:rPr>
        <w:t>人。其中：中层及以上管理人员13人，占在岗员工的</w:t>
      </w:r>
      <w:r>
        <w:rPr>
          <w:rFonts w:ascii="仿宋_GB2312" w:hAnsi="ˎ̥" w:eastAsia="仿宋_GB2312" w:cs="Tahoma"/>
          <w:color w:val="auto"/>
          <w:kern w:val="0"/>
          <w:sz w:val="30"/>
          <w:szCs w:val="30"/>
          <w:highlight w:val="none"/>
        </w:rPr>
        <w:t>17.81</w:t>
      </w:r>
      <w:r>
        <w:rPr>
          <w:rFonts w:hint="eastAsia" w:ascii="仿宋_GB2312" w:hAnsi="ˎ̥" w:eastAsia="仿宋_GB2312" w:cs="Tahoma"/>
          <w:color w:val="auto"/>
          <w:kern w:val="0"/>
          <w:sz w:val="30"/>
          <w:szCs w:val="30"/>
          <w:highlight w:val="none"/>
        </w:rPr>
        <w:t>%；大学及以上学历</w:t>
      </w:r>
      <w:r>
        <w:rPr>
          <w:rFonts w:ascii="仿宋_GB2312" w:hAnsi="ˎ̥" w:eastAsia="仿宋_GB2312" w:cs="Tahoma"/>
          <w:color w:val="auto"/>
          <w:kern w:val="0"/>
          <w:sz w:val="30"/>
          <w:szCs w:val="30"/>
          <w:highlight w:val="none"/>
        </w:rPr>
        <w:t>69</w:t>
      </w:r>
      <w:r>
        <w:rPr>
          <w:rFonts w:hint="eastAsia" w:ascii="仿宋_GB2312" w:hAnsi="ˎ̥" w:eastAsia="仿宋_GB2312" w:cs="Tahoma"/>
          <w:color w:val="auto"/>
          <w:kern w:val="0"/>
          <w:sz w:val="30"/>
          <w:szCs w:val="30"/>
          <w:highlight w:val="none"/>
        </w:rPr>
        <w:t>人，占在岗员工的94.52%；大专学历4人，占在岗员工的</w:t>
      </w:r>
      <w:r>
        <w:rPr>
          <w:rFonts w:ascii="仿宋_GB2312" w:hAnsi="ˎ̥" w:eastAsia="仿宋_GB2312" w:cs="Tahoma"/>
          <w:color w:val="auto"/>
          <w:kern w:val="0"/>
          <w:sz w:val="30"/>
          <w:szCs w:val="30"/>
          <w:highlight w:val="none"/>
        </w:rPr>
        <w:t>5.48</w:t>
      </w:r>
      <w:r>
        <w:rPr>
          <w:rFonts w:hint="eastAsia" w:ascii="仿宋_GB2312" w:hAnsi="ˎ̥" w:eastAsia="仿宋_GB2312" w:cs="Tahoma"/>
          <w:color w:val="auto"/>
          <w:kern w:val="0"/>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outlineLvl w:val="9"/>
        <w:rPr>
          <w:rFonts w:ascii="仿宋_GB2312" w:eastAsia="仿宋_GB2312"/>
          <w:b/>
          <w:color w:val="auto"/>
          <w:sz w:val="30"/>
          <w:szCs w:val="30"/>
          <w:highlight w:val="none"/>
        </w:rPr>
      </w:pPr>
      <w:r>
        <w:rPr>
          <w:rFonts w:hint="eastAsia" w:ascii="仿宋_GB2312" w:eastAsia="仿宋_GB2312"/>
          <w:b/>
          <w:color w:val="auto"/>
          <w:sz w:val="30"/>
          <w:szCs w:val="30"/>
          <w:highlight w:val="none"/>
        </w:rPr>
        <w:t>（</w:t>
      </w:r>
      <w:r>
        <w:rPr>
          <w:rFonts w:hint="eastAsia" w:ascii="仿宋_GB2312" w:eastAsia="仿宋_GB2312"/>
          <w:b/>
          <w:color w:val="auto"/>
          <w:sz w:val="30"/>
          <w:szCs w:val="30"/>
          <w:highlight w:val="none"/>
          <w:lang w:eastAsia="zh-CN"/>
        </w:rPr>
        <w:t>七</w:t>
      </w:r>
      <w:r>
        <w:rPr>
          <w:rFonts w:hint="eastAsia" w:ascii="仿宋_GB2312" w:eastAsia="仿宋_GB2312"/>
          <w:b/>
          <w:color w:val="auto"/>
          <w:sz w:val="30"/>
          <w:szCs w:val="30"/>
          <w:highlight w:val="none"/>
        </w:rPr>
        <w:t>）其他有关资料：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本行注册登记日期：</w:t>
      </w:r>
      <w:r>
        <w:rPr>
          <w:rFonts w:ascii="仿宋_GB2312" w:eastAsia="仿宋_GB2312"/>
          <w:color w:val="auto"/>
          <w:sz w:val="30"/>
          <w:szCs w:val="30"/>
          <w:highlight w:val="none"/>
        </w:rPr>
        <w:t>2014</w:t>
      </w:r>
      <w:r>
        <w:rPr>
          <w:rFonts w:hint="eastAsia" w:ascii="仿宋_GB2312" w:eastAsia="仿宋_GB2312"/>
          <w:color w:val="auto"/>
          <w:sz w:val="30"/>
          <w:szCs w:val="30"/>
          <w:highlight w:val="none"/>
        </w:rPr>
        <w:t>年</w:t>
      </w:r>
      <w:r>
        <w:rPr>
          <w:rFonts w:ascii="仿宋_GB2312" w:eastAsia="仿宋_GB2312"/>
          <w:color w:val="auto"/>
          <w:sz w:val="30"/>
          <w:szCs w:val="30"/>
          <w:highlight w:val="none"/>
        </w:rPr>
        <w:t>07</w:t>
      </w:r>
      <w:r>
        <w:rPr>
          <w:rFonts w:hint="eastAsia" w:ascii="仿宋_GB2312" w:eastAsia="仿宋_GB2312"/>
          <w:color w:val="auto"/>
          <w:sz w:val="30"/>
          <w:szCs w:val="30"/>
          <w:highlight w:val="none"/>
        </w:rPr>
        <w:t>月</w:t>
      </w:r>
      <w:r>
        <w:rPr>
          <w:rFonts w:ascii="仿宋_GB2312" w:eastAsia="仿宋_GB2312"/>
          <w:color w:val="auto"/>
          <w:sz w:val="30"/>
          <w:szCs w:val="30"/>
          <w:highlight w:val="none"/>
        </w:rPr>
        <w:t>11</w:t>
      </w:r>
      <w:r>
        <w:rPr>
          <w:rFonts w:hint="eastAsia" w:ascii="仿宋_GB2312" w:eastAsia="仿宋_GB2312"/>
          <w:color w:val="auto"/>
          <w:sz w:val="30"/>
          <w:szCs w:val="30"/>
          <w:highlight w:val="none"/>
        </w:rPr>
        <w:t>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注册资金：人民币</w:t>
      </w:r>
      <w:r>
        <w:rPr>
          <w:rFonts w:ascii="仿宋_GB2312" w:eastAsia="仿宋_GB2312"/>
          <w:color w:val="auto"/>
          <w:sz w:val="30"/>
          <w:szCs w:val="30"/>
          <w:highlight w:val="none"/>
        </w:rPr>
        <w:t>8000</w:t>
      </w:r>
      <w:r>
        <w:rPr>
          <w:rFonts w:hint="eastAsia" w:ascii="仿宋_GB2312" w:eastAsia="仿宋_GB2312"/>
          <w:color w:val="auto"/>
          <w:sz w:val="30"/>
          <w:szCs w:val="30"/>
          <w:highlight w:val="none"/>
        </w:rPr>
        <w:t>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企业法人营业执照注册号：</w:t>
      </w:r>
      <w:r>
        <w:rPr>
          <w:rFonts w:ascii="仿宋_GB2312" w:eastAsia="仿宋_GB2312"/>
          <w:color w:val="auto"/>
          <w:sz w:val="30"/>
          <w:szCs w:val="30"/>
          <w:highlight w:val="none"/>
        </w:rPr>
        <w:t>91411400396487643P</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outlineLvl w:val="9"/>
        <w:rPr>
          <w:rFonts w:ascii="仿宋_GB2312" w:eastAsia="仿宋_GB2312"/>
          <w:color w:val="auto"/>
          <w:sz w:val="30"/>
          <w:szCs w:val="30"/>
          <w:highlight w:val="none"/>
        </w:rPr>
      </w:pPr>
      <w:r>
        <w:rPr>
          <w:rFonts w:hint="eastAsia" w:ascii="仿宋_GB2312" w:eastAsia="仿宋_GB2312"/>
          <w:color w:val="auto"/>
          <w:sz w:val="30"/>
          <w:szCs w:val="30"/>
          <w:highlight w:val="none"/>
        </w:rPr>
        <w:t>金融许可证编号：</w:t>
      </w:r>
      <w:r>
        <w:rPr>
          <w:rFonts w:ascii="仿宋_GB2312" w:eastAsia="仿宋_GB2312"/>
          <w:color w:val="auto"/>
          <w:sz w:val="30"/>
          <w:szCs w:val="30"/>
          <w:highlight w:val="none"/>
        </w:rPr>
        <w:t>S0061H341140001</w:t>
      </w:r>
    </w:p>
    <w:p>
      <w:pPr>
        <w:spacing w:line="520" w:lineRule="exact"/>
        <w:ind w:firstLine="600" w:firstLineChars="200"/>
        <w:rPr>
          <w:rFonts w:hint="eastAsia"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二、本行组织结构</w:t>
      </w:r>
    </w:p>
    <w:p>
      <w:pPr>
        <w:jc w:val="both"/>
        <w:rPr>
          <w:rFonts w:hint="eastAsia" w:ascii="黑体" w:hAnsi="黑体" w:eastAsia="黑体" w:cs="Tahoma"/>
          <w:color w:val="auto"/>
          <w:kern w:val="0"/>
          <w:sz w:val="30"/>
          <w:szCs w:val="30"/>
          <w:highlight w:val="none"/>
          <w:lang w:eastAsia="zh-CN"/>
        </w:rPr>
      </w:pPr>
      <w:r>
        <w:rPr>
          <w:rFonts w:ascii="宋体"/>
          <w:b/>
          <w:color w:val="auto"/>
          <w:sz w:val="36"/>
          <w:szCs w:val="36"/>
          <w:highlight w:val="none"/>
        </w:rPr>
        <mc:AlternateContent>
          <mc:Choice Requires="wps">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800725" cy="4752975"/>
                <wp:effectExtent l="0" t="0" r="0" b="0"/>
                <wp:wrapNone/>
                <wp:docPr id="1" name="矩形 1"/>
                <wp:cNvGraphicFramePr/>
                <a:graphic xmlns:a="http://schemas.openxmlformats.org/drawingml/2006/main">
                  <a:graphicData uri="http://schemas.microsoft.com/office/word/2010/wordprocessingShape">
                    <wps:wsp>
                      <wps:cNvSpPr/>
                      <wps:spPr>
                        <a:xfrm>
                          <a:off x="0" y="0"/>
                          <a:ext cx="5800725" cy="4752975"/>
                        </a:xfrm>
                        <a:prstGeom prst="rect">
                          <a:avLst/>
                        </a:prstGeom>
                        <a:noFill/>
                        <a:ln w="9525">
                          <a:noFill/>
                        </a:ln>
                        <a:effectLst/>
                      </wps:spPr>
                      <wps:bodyPr wrap="square" upright="1"/>
                    </wps:wsp>
                  </a:graphicData>
                </a:graphic>
              </wp:anchor>
            </w:drawing>
          </mc:Choice>
          <mc:Fallback>
            <w:pict>
              <v:rect id="_x0000_s1026" o:spid="_x0000_s1026" o:spt="1" style="position:absolute;left:0pt;margin-left:0pt;margin-top:0pt;height:374.25pt;width:456.75pt;mso-position-horizontal-relative:char;mso-position-vertical-relative:line;z-index:251658240;mso-width-relative:page;mso-height-relative:page;" filled="f" stroked="f" coordsize="21600,21600" o:gfxdata="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6lHAq2AAAAAUBAAAPAAAAAAAAAAEAIAAAACIA&#10;AABkcnMvZG93bnJldi54bWxQSwECFAAUAAAACACHTuJASr1ujpcBAAAOAwAADgAAAAAAAAABACAA&#10;AAAnAQAAZHJzL2Uyb0RvYy54bWxQSwUGAAAAAAYABgBZAQAAMAUAAAAA&#10;">
                <v:fill on="f" focussize="0,0"/>
                <v:stroke on="f"/>
                <v:imagedata o:title=""/>
                <o:lock v:ext="edit" aspectratio="f"/>
              </v:rect>
            </w:pict>
          </mc:Fallback>
        </mc:AlternateContent>
      </w:r>
      <w:r>
        <w:rPr>
          <w:rFonts w:hint="eastAsia" w:ascii="黑体" w:hAnsi="黑体" w:eastAsia="黑体" w:cs="Tahoma"/>
          <w:color w:val="auto"/>
          <w:kern w:val="0"/>
          <w:sz w:val="30"/>
          <w:szCs w:val="30"/>
          <w:highlight w:val="none"/>
          <w:lang w:eastAsia="zh-CN"/>
        </w:rPr>
        <w:drawing>
          <wp:inline distT="0" distB="0" distL="114300" distR="114300">
            <wp:extent cx="5720080" cy="4185285"/>
            <wp:effectExtent l="0" t="0" r="13970" b="5715"/>
            <wp:docPr id="2" name="图片 2" descr="360截图16440812446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16440812446936"/>
                    <pic:cNvPicPr>
                      <a:picLocks noChangeAspect="1"/>
                    </pic:cNvPicPr>
                  </pic:nvPicPr>
                  <pic:blipFill>
                    <a:blip r:embed="rId4"/>
                    <a:stretch>
                      <a:fillRect/>
                    </a:stretch>
                  </pic:blipFill>
                  <pic:spPr>
                    <a:xfrm>
                      <a:off x="0" y="0"/>
                      <a:ext cx="5720080" cy="4185285"/>
                    </a:xfrm>
                    <a:prstGeom prst="rect">
                      <a:avLst/>
                    </a:prstGeom>
                    <a:noFill/>
                    <a:ln>
                      <a:noFill/>
                    </a:ln>
                  </pic:spPr>
                </pic:pic>
              </a:graphicData>
            </a:graphic>
          </wp:inline>
        </w:drawing>
      </w:r>
    </w:p>
    <w:p>
      <w:pPr>
        <w:jc w:val="center"/>
        <w:rPr>
          <w:rFonts w:hint="eastAsia" w:ascii="黑体" w:hAnsi="黑体" w:eastAsia="黑体" w:cs="Tahoma"/>
          <w:color w:val="auto"/>
          <w:kern w:val="0"/>
          <w:sz w:val="30"/>
          <w:szCs w:val="30"/>
          <w:highlight w:val="none"/>
        </w:rPr>
      </w:pPr>
    </w:p>
    <w:p>
      <w:pPr>
        <w:jc w:val="center"/>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第三章　会计数据摘要</w:t>
      </w:r>
    </w:p>
    <w:p>
      <w:pPr>
        <w:ind w:firstLine="570"/>
        <w:rPr>
          <w:rFonts w:ascii="仿宋_GB2312" w:hAnsi="ˎ̥" w:eastAsia="仿宋_GB2312" w:cs="Tahoma"/>
          <w:color w:val="auto"/>
          <w:kern w:val="0"/>
          <w:sz w:val="28"/>
          <w:szCs w:val="28"/>
          <w:highlight w:val="none"/>
        </w:rPr>
      </w:pPr>
      <w:r>
        <w:rPr>
          <w:rFonts w:hint="eastAsia" w:ascii="黑体" w:hAnsi="黑体" w:eastAsia="黑体" w:cs="Tahoma"/>
          <w:color w:val="auto"/>
          <w:kern w:val="0"/>
          <w:sz w:val="28"/>
          <w:szCs w:val="28"/>
          <w:highlight w:val="none"/>
        </w:rPr>
        <w:t>一、201</w:t>
      </w:r>
      <w:r>
        <w:rPr>
          <w:rFonts w:hint="eastAsia" w:ascii="黑体" w:hAnsi="黑体" w:eastAsia="黑体" w:cs="Tahoma"/>
          <w:color w:val="auto"/>
          <w:kern w:val="0"/>
          <w:sz w:val="28"/>
          <w:szCs w:val="28"/>
          <w:highlight w:val="none"/>
          <w:lang w:val="en-US" w:eastAsia="zh-CN"/>
        </w:rPr>
        <w:t>9</w:t>
      </w:r>
      <w:r>
        <w:rPr>
          <w:rFonts w:hint="eastAsia" w:ascii="黑体" w:hAnsi="黑体" w:eastAsia="黑体" w:cs="Tahoma"/>
          <w:color w:val="auto"/>
          <w:kern w:val="0"/>
          <w:sz w:val="28"/>
          <w:szCs w:val="28"/>
          <w:highlight w:val="none"/>
        </w:rPr>
        <w:t>年度主要利润指标　</w:t>
      </w:r>
      <w:r>
        <w:rPr>
          <w:rFonts w:hint="eastAsia" w:ascii="仿宋_GB2312" w:hAnsi="ˎ̥" w:eastAsia="仿宋_GB2312" w:cs="Tahoma"/>
          <w:color w:val="auto"/>
          <w:kern w:val="0"/>
          <w:sz w:val="28"/>
          <w:szCs w:val="28"/>
          <w:highlight w:val="none"/>
        </w:rPr>
        <w:t>　　　　　单位：人民币万元、%</w:t>
      </w:r>
    </w:p>
    <w:tbl>
      <w:tblPr>
        <w:tblStyle w:val="2"/>
        <w:tblW w:w="9100"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38"/>
        <w:gridCol w:w="1516"/>
        <w:gridCol w:w="1516"/>
        <w:gridCol w:w="1516"/>
        <w:gridCol w:w="15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项　　　目</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201</w:t>
            </w:r>
            <w:r>
              <w:rPr>
                <w:rFonts w:hint="eastAsia" w:ascii="宋体" w:hAnsi="宋体" w:cs="宋体"/>
                <w:color w:val="auto"/>
                <w:kern w:val="0"/>
                <w:sz w:val="21"/>
                <w:szCs w:val="21"/>
                <w:highlight w:val="none"/>
                <w:lang w:val="en-US" w:eastAsia="zh-CN"/>
              </w:rPr>
              <w:t>9</w:t>
            </w:r>
            <w:r>
              <w:rPr>
                <w:rFonts w:hint="eastAsia" w:ascii="宋体" w:hAnsi="宋体" w:cs="宋体"/>
                <w:color w:val="auto"/>
                <w:kern w:val="0"/>
                <w:sz w:val="21"/>
                <w:szCs w:val="21"/>
                <w:highlight w:val="none"/>
              </w:rPr>
              <w:t>年度</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201</w:t>
            </w:r>
            <w:r>
              <w:rPr>
                <w:rFonts w:hint="eastAsia" w:ascii="宋体" w:hAnsi="宋体" w:cs="宋体"/>
                <w:color w:val="auto"/>
                <w:kern w:val="0"/>
                <w:sz w:val="21"/>
                <w:szCs w:val="21"/>
                <w:highlight w:val="none"/>
                <w:lang w:val="en-US" w:eastAsia="zh-CN"/>
              </w:rPr>
              <w:t>8</w:t>
            </w:r>
            <w:r>
              <w:rPr>
                <w:rFonts w:hint="eastAsia" w:ascii="宋体" w:hAnsi="宋体" w:cs="宋体"/>
                <w:color w:val="auto"/>
                <w:kern w:val="0"/>
                <w:sz w:val="21"/>
                <w:szCs w:val="21"/>
                <w:highlight w:val="none"/>
              </w:rPr>
              <w:t>年度</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增减额</w:t>
            </w:r>
          </w:p>
        </w:tc>
        <w:tc>
          <w:tcPr>
            <w:tcW w:w="1514"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增幅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营业收入</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2983.10</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2363.63</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619.47</w:t>
            </w:r>
          </w:p>
        </w:tc>
        <w:tc>
          <w:tcPr>
            <w:tcW w:w="1514" w:type="dxa"/>
            <w:tcBorders>
              <w:top w:val="outset" w:color="auto" w:sz="6" w:space="0"/>
              <w:left w:val="outset" w:color="auto" w:sz="6" w:space="0"/>
              <w:bottom w:val="outset" w:color="auto" w:sz="6" w:space="0"/>
              <w:right w:val="outset" w:color="auto" w:sz="6" w:space="0"/>
            </w:tcBorders>
            <w:noWrap w:val="0"/>
            <w:vAlign w:val="bottom"/>
          </w:tcPr>
          <w:p>
            <w:pPr>
              <w:keepNext w:val="0"/>
              <w:keepLines w:val="0"/>
              <w:widowControl/>
              <w:suppressLineNumbers w:val="0"/>
              <w:jc w:val="left"/>
              <w:textAlignment w:val="bottom"/>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 xml:space="preserve">26.21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营业支出</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2989.46</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2323</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666.46</w:t>
            </w:r>
          </w:p>
        </w:tc>
        <w:tc>
          <w:tcPr>
            <w:tcW w:w="1514" w:type="dxa"/>
            <w:tcBorders>
              <w:top w:val="outset" w:color="auto" w:sz="6" w:space="0"/>
              <w:left w:val="outset" w:color="auto" w:sz="6" w:space="0"/>
              <w:bottom w:val="outset" w:color="auto" w:sz="6" w:space="0"/>
              <w:right w:val="outset" w:color="auto" w:sz="6" w:space="0"/>
            </w:tcBorders>
            <w:noWrap w:val="0"/>
            <w:vAlign w:val="bottom"/>
          </w:tcPr>
          <w:p>
            <w:pPr>
              <w:keepNext w:val="0"/>
              <w:keepLines w:val="0"/>
              <w:widowControl/>
              <w:suppressLineNumbers w:val="0"/>
              <w:jc w:val="left"/>
              <w:textAlignment w:val="bottom"/>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 xml:space="preserve">28.69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营业利润</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-6.37</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40.63</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-47</w:t>
            </w:r>
          </w:p>
        </w:tc>
        <w:tc>
          <w:tcPr>
            <w:tcW w:w="1514" w:type="dxa"/>
            <w:tcBorders>
              <w:top w:val="outset" w:color="auto" w:sz="6" w:space="0"/>
              <w:left w:val="outset" w:color="auto" w:sz="6" w:space="0"/>
              <w:bottom w:val="outset" w:color="auto" w:sz="6" w:space="0"/>
              <w:right w:val="outset" w:color="auto" w:sz="6" w:space="0"/>
            </w:tcBorders>
            <w:noWrap w:val="0"/>
            <w:vAlign w:val="bottom"/>
          </w:tcPr>
          <w:p>
            <w:pPr>
              <w:keepNext w:val="0"/>
              <w:keepLines w:val="0"/>
              <w:widowControl/>
              <w:suppressLineNumbers w:val="0"/>
              <w:jc w:val="left"/>
              <w:textAlignment w:val="bottom"/>
              <w:rPr>
                <w:color w:val="auto"/>
                <w:sz w:val="21"/>
                <w:szCs w:val="21"/>
                <w:highlight w:val="none"/>
              </w:rPr>
            </w:pP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115.68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营业外收支净额</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384.75</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358.78</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25.97</w:t>
            </w:r>
          </w:p>
        </w:tc>
        <w:tc>
          <w:tcPr>
            <w:tcW w:w="1514" w:type="dxa"/>
            <w:tcBorders>
              <w:top w:val="outset" w:color="auto" w:sz="6" w:space="0"/>
              <w:left w:val="outset" w:color="auto" w:sz="6" w:space="0"/>
              <w:bottom w:val="outset" w:color="auto" w:sz="6" w:space="0"/>
              <w:right w:val="outset" w:color="auto" w:sz="6" w:space="0"/>
            </w:tcBorders>
            <w:noWrap w:val="0"/>
            <w:vAlign w:val="bottom"/>
          </w:tcPr>
          <w:p>
            <w:pPr>
              <w:keepNext w:val="0"/>
              <w:keepLines w:val="0"/>
              <w:widowControl/>
              <w:suppressLineNumbers w:val="0"/>
              <w:jc w:val="left"/>
              <w:textAlignment w:val="bottom"/>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 xml:space="preserve">7.24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利润总额</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378.38</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399.41</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-21.03</w:t>
            </w:r>
          </w:p>
        </w:tc>
        <w:tc>
          <w:tcPr>
            <w:tcW w:w="1514" w:type="dxa"/>
            <w:tcBorders>
              <w:top w:val="outset" w:color="auto" w:sz="6" w:space="0"/>
              <w:left w:val="outset" w:color="auto" w:sz="6" w:space="0"/>
              <w:bottom w:val="outset" w:color="auto" w:sz="6" w:space="0"/>
              <w:right w:val="outset" w:color="auto" w:sz="6" w:space="0"/>
            </w:tcBorders>
            <w:noWrap w:val="0"/>
            <w:vAlign w:val="bottom"/>
          </w:tcPr>
          <w:p>
            <w:pPr>
              <w:keepNext w:val="0"/>
              <w:keepLines w:val="0"/>
              <w:widowControl/>
              <w:suppressLineNumbers w:val="0"/>
              <w:jc w:val="left"/>
              <w:textAlignment w:val="bottom"/>
              <w:rPr>
                <w:color w:val="auto"/>
                <w:sz w:val="21"/>
                <w:szCs w:val="21"/>
                <w:highlight w:val="none"/>
              </w:rPr>
            </w:pP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5.27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减：所得税费用</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136.36</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-14.45</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150.81</w:t>
            </w:r>
          </w:p>
        </w:tc>
        <w:tc>
          <w:tcPr>
            <w:tcW w:w="1514" w:type="dxa"/>
            <w:tcBorders>
              <w:top w:val="outset" w:color="auto" w:sz="6" w:space="0"/>
              <w:left w:val="outset" w:color="auto" w:sz="6" w:space="0"/>
              <w:bottom w:val="outset" w:color="auto" w:sz="6" w:space="0"/>
              <w:right w:val="outset" w:color="auto" w:sz="6" w:space="0"/>
            </w:tcBorders>
            <w:noWrap w:val="0"/>
            <w:vAlign w:val="bottom"/>
          </w:tcPr>
          <w:p>
            <w:pPr>
              <w:keepNext w:val="0"/>
              <w:keepLines w:val="0"/>
              <w:widowControl/>
              <w:suppressLineNumbers w:val="0"/>
              <w:jc w:val="left"/>
              <w:textAlignment w:val="bottom"/>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 xml:space="preserve">1043.67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3038"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净利润</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242.03</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widowControl/>
              <w:jc w:val="left"/>
              <w:textAlignment w:val="center"/>
              <w:rPr>
                <w:color w:val="auto"/>
                <w:sz w:val="21"/>
                <w:szCs w:val="21"/>
                <w:highlight w:val="none"/>
              </w:rPr>
            </w:pPr>
            <w:r>
              <w:rPr>
                <w:rFonts w:hint="eastAsia" w:ascii="宋体" w:hAnsi="宋体" w:cs="宋体"/>
                <w:color w:val="auto"/>
                <w:kern w:val="0"/>
                <w:sz w:val="21"/>
                <w:szCs w:val="21"/>
                <w:highlight w:val="none"/>
              </w:rPr>
              <w:t>413.86</w:t>
            </w:r>
          </w:p>
        </w:tc>
        <w:tc>
          <w:tcPr>
            <w:tcW w:w="15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left"/>
              <w:textAlignment w:val="center"/>
              <w:rPr>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-171.83</w:t>
            </w:r>
          </w:p>
        </w:tc>
        <w:tc>
          <w:tcPr>
            <w:tcW w:w="1514" w:type="dxa"/>
            <w:tcBorders>
              <w:top w:val="outset" w:color="auto" w:sz="6" w:space="0"/>
              <w:left w:val="outset" w:color="auto" w:sz="6" w:space="0"/>
              <w:bottom w:val="outset" w:color="auto" w:sz="6" w:space="0"/>
              <w:right w:val="outset" w:color="auto" w:sz="6" w:space="0"/>
            </w:tcBorders>
            <w:noWrap w:val="0"/>
            <w:vAlign w:val="bottom"/>
          </w:tcPr>
          <w:p>
            <w:pPr>
              <w:keepNext w:val="0"/>
              <w:keepLines w:val="0"/>
              <w:widowControl/>
              <w:suppressLineNumbers w:val="0"/>
              <w:jc w:val="left"/>
              <w:textAlignment w:val="bottom"/>
              <w:rPr>
                <w:color w:val="auto"/>
                <w:sz w:val="21"/>
                <w:szCs w:val="21"/>
                <w:highlight w:val="none"/>
              </w:rPr>
            </w:pPr>
            <w:r>
              <w:rPr>
                <w:rFonts w:hint="eastAsia" w:ascii="宋体" w:hAnsi="宋体" w:cs="宋体"/>
                <w:i w:val="0"/>
                <w:color w:val="auto"/>
                <w:kern w:val="0"/>
                <w:sz w:val="21"/>
                <w:szCs w:val="21"/>
                <w:highlight w:val="none"/>
                <w:u w:val="none"/>
                <w:lang w:val="en-US" w:eastAsia="zh-CN" w:bidi="ar"/>
              </w:rPr>
              <w:t>-</w:t>
            </w:r>
            <w:r>
              <w:rPr>
                <w:rFonts w:hint="eastAsia" w:ascii="宋体" w:hAnsi="宋体" w:eastAsia="宋体" w:cs="宋体"/>
                <w:i w:val="0"/>
                <w:color w:val="auto"/>
                <w:kern w:val="0"/>
                <w:sz w:val="21"/>
                <w:szCs w:val="21"/>
                <w:highlight w:val="none"/>
                <w:u w:val="none"/>
                <w:lang w:val="en-US" w:eastAsia="zh-CN" w:bidi="ar"/>
              </w:rPr>
              <w:t xml:space="preserve">41.52 </w:t>
            </w:r>
          </w:p>
        </w:tc>
      </w:tr>
    </w:tbl>
    <w:p>
      <w:pPr>
        <w:rPr>
          <w:rFonts w:ascii="仿宋_GB2312" w:hAnsi="ˎ̥" w:eastAsia="仿宋_GB2312" w:cs="Tahoma"/>
          <w:color w:val="auto"/>
          <w:kern w:val="0"/>
          <w:sz w:val="28"/>
          <w:szCs w:val="28"/>
          <w:highlight w:val="none"/>
        </w:rPr>
      </w:pPr>
      <w:r>
        <w:rPr>
          <w:rFonts w:hint="eastAsia" w:ascii="仿宋_GB2312" w:hAnsi="ˎ̥" w:eastAsia="仿宋_GB2312" w:cs="Tahoma"/>
          <w:color w:val="auto"/>
          <w:kern w:val="0"/>
          <w:sz w:val="28"/>
          <w:szCs w:val="28"/>
          <w:highlight w:val="none"/>
        </w:rPr>
        <w:t>　　</w:t>
      </w:r>
      <w:r>
        <w:rPr>
          <w:rFonts w:hint="eastAsia" w:ascii="黑体" w:hAnsi="黑体" w:eastAsia="黑体" w:cs="Tahoma"/>
          <w:color w:val="auto"/>
          <w:kern w:val="0"/>
          <w:sz w:val="28"/>
          <w:szCs w:val="28"/>
          <w:highlight w:val="none"/>
        </w:rPr>
        <w:t>二、截至201</w:t>
      </w:r>
      <w:r>
        <w:rPr>
          <w:rFonts w:hint="eastAsia" w:ascii="黑体" w:hAnsi="黑体" w:eastAsia="黑体" w:cs="Tahoma"/>
          <w:color w:val="auto"/>
          <w:kern w:val="0"/>
          <w:sz w:val="28"/>
          <w:szCs w:val="28"/>
          <w:highlight w:val="none"/>
          <w:lang w:val="en-US" w:eastAsia="zh-CN"/>
        </w:rPr>
        <w:t>9</w:t>
      </w:r>
      <w:r>
        <w:rPr>
          <w:rFonts w:hint="eastAsia" w:ascii="黑体" w:hAnsi="黑体" w:eastAsia="黑体" w:cs="Tahoma"/>
          <w:color w:val="auto"/>
          <w:kern w:val="0"/>
          <w:sz w:val="28"/>
          <w:szCs w:val="28"/>
          <w:highlight w:val="none"/>
        </w:rPr>
        <w:t>年末前两年的主要会计财务数据</w:t>
      </w:r>
      <w:r>
        <w:rPr>
          <w:rFonts w:hint="eastAsia" w:ascii="仿宋_GB2312" w:hAnsi="ˎ̥" w:eastAsia="仿宋_GB2312" w:cs="Tahoma"/>
          <w:color w:val="auto"/>
          <w:kern w:val="0"/>
          <w:sz w:val="28"/>
          <w:szCs w:val="28"/>
          <w:highlight w:val="none"/>
        </w:rPr>
        <w:t>　单位：人民币万元</w:t>
      </w:r>
    </w:p>
    <w:tbl>
      <w:tblPr>
        <w:tblStyle w:val="2"/>
        <w:tblW w:w="9100"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72"/>
        <w:gridCol w:w="1942"/>
        <w:gridCol w:w="1944"/>
        <w:gridCol w:w="19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项　　　　目</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201</w:t>
            </w:r>
            <w:r>
              <w:rPr>
                <w:rFonts w:hint="eastAsia" w:ascii="宋体" w:hAnsi="宋体" w:cs="宋体"/>
                <w:color w:val="auto"/>
                <w:kern w:val="0"/>
                <w:sz w:val="21"/>
                <w:szCs w:val="21"/>
                <w:highlight w:val="none"/>
                <w:lang w:val="en-US" w:eastAsia="zh-CN"/>
              </w:rPr>
              <w:t>9</w:t>
            </w:r>
            <w:r>
              <w:rPr>
                <w:rFonts w:hint="eastAsia" w:ascii="宋体" w:hAnsi="宋体" w:cs="宋体"/>
                <w:color w:val="auto"/>
                <w:kern w:val="0"/>
                <w:sz w:val="21"/>
                <w:szCs w:val="21"/>
                <w:highlight w:val="none"/>
              </w:rPr>
              <w:t>年审计数</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201</w:t>
            </w:r>
            <w:r>
              <w:rPr>
                <w:rFonts w:hint="eastAsia" w:ascii="宋体" w:hAnsi="宋体" w:cs="宋体"/>
                <w:color w:val="auto"/>
                <w:kern w:val="0"/>
                <w:sz w:val="21"/>
                <w:szCs w:val="21"/>
                <w:highlight w:val="none"/>
                <w:lang w:val="en-US" w:eastAsia="zh-CN"/>
              </w:rPr>
              <w:t>8</w:t>
            </w:r>
            <w:r>
              <w:rPr>
                <w:rFonts w:hint="eastAsia" w:ascii="宋体" w:hAnsi="宋体" w:cs="宋体"/>
                <w:color w:val="auto"/>
                <w:kern w:val="0"/>
                <w:sz w:val="21"/>
                <w:szCs w:val="21"/>
                <w:highlight w:val="none"/>
              </w:rPr>
              <w:t>年审计数</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201</w:t>
            </w:r>
            <w:r>
              <w:rPr>
                <w:rFonts w:hint="eastAsia" w:ascii="宋体" w:hAnsi="宋体" w:cs="宋体"/>
                <w:color w:val="auto"/>
                <w:kern w:val="0"/>
                <w:sz w:val="21"/>
                <w:szCs w:val="21"/>
                <w:highlight w:val="none"/>
                <w:lang w:val="en-US" w:eastAsia="zh-CN"/>
              </w:rPr>
              <w:t>7</w:t>
            </w:r>
            <w:r>
              <w:rPr>
                <w:rFonts w:hint="eastAsia" w:ascii="宋体" w:hAnsi="宋体" w:cs="宋体"/>
                <w:color w:val="auto"/>
                <w:kern w:val="0"/>
                <w:sz w:val="21"/>
                <w:szCs w:val="21"/>
                <w:highlight w:val="none"/>
              </w:rPr>
              <w:t>年审计数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总资产</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73155.90</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56636.69</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36706.26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存款余额</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61507.39</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46875.72</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27557.38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贷款余额</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30030.02</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24703.25</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20682.66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股本金</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8000</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8000</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8000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股东权益</w:t>
            </w:r>
            <w:r>
              <w:rPr>
                <w:rStyle w:val="7"/>
                <w:color w:val="auto"/>
                <w:sz w:val="21"/>
                <w:szCs w:val="21"/>
                <w:highlight w:val="none"/>
              </w:rPr>
              <w:t>(</w:t>
            </w:r>
            <w:r>
              <w:rPr>
                <w:rStyle w:val="6"/>
                <w:rFonts w:hint="default"/>
                <w:color w:val="auto"/>
                <w:sz w:val="21"/>
                <w:szCs w:val="21"/>
                <w:highlight w:val="none"/>
              </w:rPr>
              <w:t>所有者权益）</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7547.43</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7305.41</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6891.55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每股收益（元）</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rPr>
              <w:t>0.0</w:t>
            </w:r>
            <w:r>
              <w:rPr>
                <w:rFonts w:hint="eastAsia" w:ascii="宋体" w:hAnsi="宋体" w:cs="宋体"/>
                <w:color w:val="auto"/>
                <w:kern w:val="0"/>
                <w:sz w:val="21"/>
                <w:szCs w:val="21"/>
                <w:highlight w:val="none"/>
                <w:lang w:val="en-US" w:eastAsia="zh-CN"/>
              </w:rPr>
              <w:t>3</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0.05</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每股净资产（元）</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rPr>
              <w:t>0.9</w:t>
            </w:r>
            <w:r>
              <w:rPr>
                <w:rFonts w:hint="eastAsia" w:ascii="宋体" w:hAnsi="宋体" w:cs="宋体"/>
                <w:color w:val="auto"/>
                <w:kern w:val="0"/>
                <w:sz w:val="21"/>
                <w:szCs w:val="21"/>
                <w:highlight w:val="none"/>
                <w:lang w:val="en-US" w:eastAsia="zh-CN"/>
              </w:rPr>
              <w:t>4</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0.91</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tblCellSpacing w:w="0" w:type="dxa"/>
        </w:trPr>
        <w:tc>
          <w:tcPr>
            <w:tcW w:w="327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净资产收益率（</w:t>
            </w:r>
            <w:r>
              <w:rPr>
                <w:rStyle w:val="7"/>
                <w:color w:val="auto"/>
                <w:sz w:val="21"/>
                <w:szCs w:val="21"/>
                <w:highlight w:val="none"/>
              </w:rPr>
              <w:t>%</w:t>
            </w:r>
            <w:r>
              <w:rPr>
                <w:rStyle w:val="6"/>
                <w:rFonts w:hint="default"/>
                <w:color w:val="auto"/>
                <w:sz w:val="21"/>
                <w:szCs w:val="21"/>
                <w:highlight w:val="none"/>
              </w:rPr>
              <w:t>）</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3.26</w:t>
            </w:r>
          </w:p>
        </w:tc>
        <w:tc>
          <w:tcPr>
            <w:tcW w:w="1944"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5.83</w:t>
            </w:r>
          </w:p>
        </w:tc>
        <w:tc>
          <w:tcPr>
            <w:tcW w:w="194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2.9</w:t>
            </w:r>
          </w:p>
        </w:tc>
      </w:tr>
    </w:tbl>
    <w:p>
      <w:pPr>
        <w:rPr>
          <w:rFonts w:ascii="仿宋_GB2312" w:hAnsi="宋体" w:eastAsia="仿宋_GB2312" w:cs="Tahoma"/>
          <w:color w:val="auto"/>
          <w:kern w:val="0"/>
          <w:sz w:val="24"/>
          <w:highlight w:val="none"/>
        </w:rPr>
      </w:pPr>
      <w:r>
        <w:rPr>
          <w:rFonts w:hint="eastAsia" w:ascii="仿宋_GB2312" w:hAnsi="ˎ̥" w:eastAsia="仿宋_GB2312" w:cs="Tahoma"/>
          <w:color w:val="auto"/>
          <w:kern w:val="0"/>
          <w:sz w:val="24"/>
          <w:highlight w:val="none"/>
        </w:rPr>
        <w:t>注：</w:t>
      </w:r>
      <w:r>
        <w:rPr>
          <w:rFonts w:hint="eastAsia" w:ascii="仿宋_GB2312" w:hAnsi="宋体" w:eastAsia="仿宋_GB2312" w:cs="Tahoma"/>
          <w:color w:val="auto"/>
          <w:kern w:val="0"/>
          <w:sz w:val="24"/>
          <w:highlight w:val="none"/>
        </w:rPr>
        <w:t xml:space="preserve">净资产收益率＝净利润/（年初股东权益/2＋年末股东权益/2）×100%。 </w:t>
      </w:r>
    </w:p>
    <w:p>
      <w:pPr>
        <w:ind w:firstLine="570"/>
        <w:rPr>
          <w:rFonts w:ascii="仿宋_GB2312" w:hAnsi="宋体" w:eastAsia="仿宋_GB2312" w:cs="Tahoma"/>
          <w:color w:val="auto"/>
          <w:kern w:val="0"/>
          <w:sz w:val="28"/>
          <w:szCs w:val="28"/>
          <w:highlight w:val="none"/>
        </w:rPr>
      </w:pPr>
      <w:r>
        <w:rPr>
          <w:rFonts w:hint="eastAsia" w:ascii="黑体" w:hAnsi="黑体" w:eastAsia="黑体" w:cs="Tahoma"/>
          <w:color w:val="auto"/>
          <w:kern w:val="0"/>
          <w:sz w:val="28"/>
          <w:szCs w:val="28"/>
          <w:highlight w:val="none"/>
        </w:rPr>
        <w:t>三、201</w:t>
      </w:r>
      <w:r>
        <w:rPr>
          <w:rFonts w:hint="eastAsia" w:ascii="黑体" w:hAnsi="黑体" w:eastAsia="黑体" w:cs="Tahoma"/>
          <w:color w:val="auto"/>
          <w:kern w:val="0"/>
          <w:sz w:val="28"/>
          <w:szCs w:val="28"/>
          <w:highlight w:val="none"/>
          <w:lang w:val="en-US" w:eastAsia="zh-CN"/>
        </w:rPr>
        <w:t>9</w:t>
      </w:r>
      <w:r>
        <w:rPr>
          <w:rFonts w:hint="eastAsia" w:ascii="黑体" w:hAnsi="黑体" w:eastAsia="黑体" w:cs="Tahoma"/>
          <w:color w:val="auto"/>
          <w:kern w:val="0"/>
          <w:sz w:val="28"/>
          <w:szCs w:val="28"/>
          <w:highlight w:val="none"/>
        </w:rPr>
        <w:t>年末主要合规性监管指标</w:t>
      </w:r>
      <w:r>
        <w:rPr>
          <w:rFonts w:hint="eastAsia" w:ascii="仿宋_GB2312" w:hAnsi="宋体" w:eastAsia="仿宋_GB2312" w:cs="Tahoma"/>
          <w:color w:val="auto"/>
          <w:kern w:val="0"/>
          <w:sz w:val="28"/>
          <w:szCs w:val="28"/>
          <w:highlight w:val="none"/>
        </w:rPr>
        <w:t>　　　单位：人民币万元、%</w:t>
      </w:r>
    </w:p>
    <w:tbl>
      <w:tblPr>
        <w:tblStyle w:val="2"/>
        <w:tblW w:w="907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743"/>
        <w:gridCol w:w="1196"/>
        <w:gridCol w:w="1196"/>
        <w:gridCol w:w="119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指标分类</w:t>
            </w:r>
          </w:p>
        </w:tc>
        <w:tc>
          <w:tcPr>
            <w:tcW w:w="2743"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指标名称</w:t>
            </w:r>
          </w:p>
        </w:tc>
        <w:tc>
          <w:tcPr>
            <w:tcW w:w="119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标准值</w:t>
            </w:r>
          </w:p>
        </w:tc>
        <w:tc>
          <w:tcPr>
            <w:tcW w:w="119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201</w:t>
            </w:r>
            <w:r>
              <w:rPr>
                <w:rFonts w:hint="eastAsia" w:ascii="宋体" w:hAnsi="宋体" w:cs="宋体"/>
                <w:color w:val="auto"/>
                <w:kern w:val="0"/>
                <w:szCs w:val="21"/>
                <w:highlight w:val="none"/>
                <w:lang w:val="en-US" w:eastAsia="zh-CN"/>
              </w:rPr>
              <w:t>9</w:t>
            </w:r>
            <w:r>
              <w:rPr>
                <w:rFonts w:hint="eastAsia" w:ascii="宋体" w:hAnsi="宋体" w:cs="宋体"/>
                <w:color w:val="auto"/>
                <w:kern w:val="0"/>
                <w:szCs w:val="21"/>
                <w:highlight w:val="none"/>
              </w:rPr>
              <w:t>年</w:t>
            </w:r>
          </w:p>
        </w:tc>
        <w:tc>
          <w:tcPr>
            <w:tcW w:w="119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201</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年</w:t>
            </w:r>
          </w:p>
        </w:tc>
        <w:tc>
          <w:tcPr>
            <w:tcW w:w="1006" w:type="dxa"/>
            <w:noWrap w:val="0"/>
            <w:vAlign w:val="center"/>
          </w:tcPr>
          <w:p>
            <w:pPr>
              <w:widowControl/>
              <w:jc w:val="center"/>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变动</w:t>
            </w:r>
          </w:p>
          <w:p>
            <w:pPr>
              <w:widowControl/>
              <w:jc w:val="center"/>
              <w:textAlignment w:val="center"/>
              <w:rPr>
                <w:color w:val="auto"/>
                <w:highlight w:val="none"/>
              </w:rPr>
            </w:pPr>
            <w:r>
              <w:rPr>
                <w:rFonts w:hint="eastAsia" w:ascii="宋体" w:hAnsi="宋体" w:cs="宋体"/>
                <w:color w:val="auto"/>
                <w:kern w:val="0"/>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资本充足状况</w:t>
            </w:r>
          </w:p>
        </w:tc>
        <w:tc>
          <w:tcPr>
            <w:tcW w:w="2743"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资本充足率</w:t>
            </w:r>
          </w:p>
        </w:tc>
        <w:tc>
          <w:tcPr>
            <w:tcW w:w="119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w:t>
            </w:r>
            <w:r>
              <w:rPr>
                <w:rStyle w:val="5"/>
                <w:color w:val="auto"/>
                <w:highlight w:val="none"/>
              </w:rPr>
              <w:t>8</w:t>
            </w:r>
          </w:p>
        </w:tc>
        <w:tc>
          <w:tcPr>
            <w:tcW w:w="1196" w:type="dxa"/>
            <w:noWrap w:val="0"/>
            <w:vAlign w:val="center"/>
          </w:tcPr>
          <w:p>
            <w:pPr>
              <w:widowControl/>
              <w:jc w:val="center"/>
              <w:textAlignment w:val="center"/>
              <w:rPr>
                <w:rFonts w:hint="eastAsia" w:eastAsia="宋体"/>
                <w:color w:val="auto"/>
                <w:sz w:val="22"/>
                <w:szCs w:val="22"/>
                <w:highlight w:val="none"/>
                <w:lang w:val="en-US" w:eastAsia="zh-CN"/>
              </w:rPr>
            </w:pPr>
            <w:r>
              <w:rPr>
                <w:rFonts w:hint="eastAsia" w:ascii="宋体" w:hAnsi="宋体" w:cs="宋体"/>
                <w:color w:val="auto"/>
                <w:kern w:val="0"/>
                <w:szCs w:val="21"/>
                <w:highlight w:val="none"/>
                <w:lang w:val="en-US" w:eastAsia="zh-CN"/>
              </w:rPr>
              <w:t>18.84</w:t>
            </w:r>
          </w:p>
        </w:tc>
        <w:tc>
          <w:tcPr>
            <w:tcW w:w="1196" w:type="dxa"/>
            <w:noWrap w:val="0"/>
            <w:vAlign w:val="center"/>
          </w:tcPr>
          <w:p>
            <w:pPr>
              <w:widowControl/>
              <w:jc w:val="center"/>
              <w:textAlignment w:val="center"/>
              <w:rPr>
                <w:color w:val="auto"/>
                <w:sz w:val="22"/>
                <w:szCs w:val="22"/>
                <w:highlight w:val="none"/>
              </w:rPr>
            </w:pPr>
            <w:r>
              <w:rPr>
                <w:rFonts w:hint="eastAsia" w:ascii="宋体" w:hAnsi="宋体" w:cs="宋体"/>
                <w:color w:val="auto"/>
                <w:kern w:val="0"/>
                <w:szCs w:val="21"/>
                <w:highlight w:val="none"/>
              </w:rPr>
              <w:t>20</w:t>
            </w:r>
          </w:p>
        </w:tc>
        <w:tc>
          <w:tcPr>
            <w:tcW w:w="1006" w:type="dxa"/>
            <w:noWrap w:val="0"/>
            <w:vAlign w:val="center"/>
          </w:tcPr>
          <w:p>
            <w:pPr>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核心资本充足率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4</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17.76</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19.16</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资产安全状况</w:t>
            </w:r>
          </w:p>
        </w:tc>
        <w:tc>
          <w:tcPr>
            <w:tcW w:w="2743"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不良贷款率</w:t>
            </w:r>
          </w:p>
        </w:tc>
        <w:tc>
          <w:tcPr>
            <w:tcW w:w="119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w:t>
            </w:r>
            <w:r>
              <w:rPr>
                <w:rStyle w:val="5"/>
                <w:color w:val="auto"/>
                <w:highlight w:val="none"/>
              </w:rPr>
              <w:t>5</w:t>
            </w:r>
          </w:p>
        </w:tc>
        <w:tc>
          <w:tcPr>
            <w:tcW w:w="1196" w:type="dxa"/>
            <w:noWrap w:val="0"/>
            <w:vAlign w:val="center"/>
          </w:tcPr>
          <w:p>
            <w:pPr>
              <w:widowControl/>
              <w:jc w:val="center"/>
              <w:textAlignment w:val="center"/>
              <w:rPr>
                <w:rFonts w:hint="eastAsia" w:eastAsia="宋体"/>
                <w:color w:val="auto"/>
                <w:sz w:val="22"/>
                <w:szCs w:val="22"/>
                <w:highlight w:val="none"/>
                <w:lang w:val="en-US" w:eastAsia="zh-CN"/>
              </w:rPr>
            </w:pPr>
            <w:r>
              <w:rPr>
                <w:rFonts w:hint="eastAsia" w:ascii="宋体" w:hAnsi="宋体" w:cs="宋体"/>
                <w:color w:val="auto"/>
                <w:kern w:val="0"/>
                <w:szCs w:val="21"/>
                <w:highlight w:val="none"/>
                <w:lang w:val="en-US" w:eastAsia="zh-CN"/>
              </w:rPr>
              <w:t>0.97</w:t>
            </w:r>
          </w:p>
        </w:tc>
        <w:tc>
          <w:tcPr>
            <w:tcW w:w="1196" w:type="dxa"/>
            <w:noWrap w:val="0"/>
            <w:vAlign w:val="center"/>
          </w:tcPr>
          <w:p>
            <w:pPr>
              <w:widowControl/>
              <w:jc w:val="center"/>
              <w:textAlignment w:val="center"/>
              <w:rPr>
                <w:color w:val="auto"/>
                <w:sz w:val="22"/>
                <w:szCs w:val="22"/>
                <w:highlight w:val="none"/>
              </w:rPr>
            </w:pPr>
            <w:r>
              <w:rPr>
                <w:rFonts w:hint="eastAsia" w:ascii="宋体" w:hAnsi="宋体" w:cs="宋体"/>
                <w:color w:val="auto"/>
                <w:kern w:val="0"/>
                <w:szCs w:val="21"/>
                <w:highlight w:val="none"/>
              </w:rPr>
              <w:t>1.23</w:t>
            </w:r>
          </w:p>
        </w:tc>
        <w:tc>
          <w:tcPr>
            <w:tcW w:w="1006" w:type="dxa"/>
            <w:noWrap w:val="0"/>
            <w:vAlign w:val="center"/>
          </w:tcPr>
          <w:p>
            <w:pPr>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不良资产率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3</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0.40</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0.63</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单一集团客户授信集中度</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15</w:t>
            </w:r>
          </w:p>
        </w:tc>
        <w:tc>
          <w:tcPr>
            <w:tcW w:w="1196" w:type="dxa"/>
            <w:noWrap w:val="0"/>
            <w:vAlign w:val="center"/>
          </w:tcPr>
          <w:p>
            <w:pPr>
              <w:widowControl/>
              <w:jc w:val="center"/>
              <w:textAlignment w:val="center"/>
              <w:rPr>
                <w:rFonts w:hint="eastAsia" w:eastAsia="宋体"/>
                <w:color w:val="auto"/>
                <w:kern w:val="0"/>
                <w:sz w:val="20"/>
                <w:szCs w:val="20"/>
                <w:highlight w:val="none"/>
                <w:lang w:eastAsia="zh-CN"/>
              </w:rPr>
            </w:pPr>
            <w:r>
              <w:rPr>
                <w:rFonts w:hint="eastAsia" w:ascii="宋体" w:hAnsi="宋体" w:cs="宋体"/>
                <w:color w:val="auto"/>
                <w:kern w:val="0"/>
                <w:szCs w:val="21"/>
                <w:highlight w:val="none"/>
                <w:lang w:val="en-US" w:eastAsia="zh-CN"/>
              </w:rPr>
              <w:t>0</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8.52</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单一客户贷款集中度</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10</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Times New Roman" w:eastAsia="宋体"/>
                <w:color w:val="auto"/>
                <w:kern w:val="0"/>
                <w:sz w:val="20"/>
                <w:szCs w:val="20"/>
                <w:highlight w:val="none"/>
                <w:lang w:val="en-US" w:eastAsia="zh-CN"/>
              </w:rPr>
              <w:t>5</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8.52</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全部关联度</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50</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0</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0</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贷款损失准备充足率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100</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133.33</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121.25</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资产损失准备充足率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100</w:t>
            </w:r>
          </w:p>
        </w:tc>
        <w:tc>
          <w:tcPr>
            <w:tcW w:w="1196" w:type="dxa"/>
            <w:noWrap w:val="0"/>
            <w:vAlign w:val="center"/>
          </w:tcPr>
          <w:p>
            <w:pPr>
              <w:keepNext w:val="0"/>
              <w:keepLines w:val="0"/>
              <w:widowControl/>
              <w:suppressLineNumbers w:val="0"/>
              <w:jc w:val="center"/>
              <w:textAlignment w:val="center"/>
              <w:rPr>
                <w:color w:val="auto"/>
                <w:kern w:val="0"/>
                <w:sz w:val="20"/>
                <w:szCs w:val="20"/>
                <w:highlight w:val="none"/>
              </w:rPr>
            </w:pPr>
            <w:r>
              <w:rPr>
                <w:rFonts w:hint="eastAsia" w:ascii="宋体" w:hAnsi="宋体" w:eastAsia="宋体" w:cs="宋体"/>
                <w:i w:val="0"/>
                <w:color w:val="auto"/>
                <w:kern w:val="0"/>
                <w:sz w:val="22"/>
                <w:szCs w:val="22"/>
                <w:highlight w:val="none"/>
                <w:u w:val="none"/>
                <w:lang w:val="en-US" w:eastAsia="zh-CN" w:bidi="ar"/>
              </w:rPr>
              <w:t xml:space="preserve">133.33 </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121.25</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拨备覆盖率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100</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257.34</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205.28</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授信集中度</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0</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8.52</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盈利状况</w:t>
            </w:r>
          </w:p>
        </w:tc>
        <w:tc>
          <w:tcPr>
            <w:tcW w:w="2743"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资产利润率</w:t>
            </w:r>
          </w:p>
        </w:tc>
        <w:tc>
          <w:tcPr>
            <w:tcW w:w="119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w:t>
            </w:r>
            <w:r>
              <w:rPr>
                <w:rStyle w:val="5"/>
                <w:color w:val="auto"/>
                <w:highlight w:val="none"/>
              </w:rPr>
              <w:t>0.6</w:t>
            </w:r>
          </w:p>
        </w:tc>
        <w:tc>
          <w:tcPr>
            <w:tcW w:w="1196" w:type="dxa"/>
            <w:noWrap w:val="0"/>
            <w:vAlign w:val="center"/>
          </w:tcPr>
          <w:p>
            <w:pPr>
              <w:widowControl/>
              <w:jc w:val="center"/>
              <w:textAlignment w:val="center"/>
              <w:rPr>
                <w:rFonts w:hint="eastAsia" w:eastAsia="宋体"/>
                <w:color w:val="auto"/>
                <w:sz w:val="22"/>
                <w:szCs w:val="22"/>
                <w:highlight w:val="none"/>
                <w:lang w:val="en-US" w:eastAsia="zh-CN"/>
              </w:rPr>
            </w:pPr>
            <w:r>
              <w:rPr>
                <w:rFonts w:hint="eastAsia" w:ascii="宋体" w:hAnsi="宋体" w:cs="宋体"/>
                <w:color w:val="auto"/>
                <w:kern w:val="0"/>
                <w:szCs w:val="21"/>
                <w:highlight w:val="none"/>
              </w:rPr>
              <w:t>0.</w:t>
            </w:r>
            <w:r>
              <w:rPr>
                <w:rFonts w:hint="eastAsia" w:ascii="宋体" w:hAnsi="宋体" w:cs="宋体"/>
                <w:color w:val="auto"/>
                <w:kern w:val="0"/>
                <w:szCs w:val="21"/>
                <w:highlight w:val="none"/>
                <w:lang w:val="en-US" w:eastAsia="zh-CN"/>
              </w:rPr>
              <w:t>37</w:t>
            </w:r>
          </w:p>
        </w:tc>
        <w:tc>
          <w:tcPr>
            <w:tcW w:w="1196" w:type="dxa"/>
            <w:noWrap w:val="0"/>
            <w:vAlign w:val="center"/>
          </w:tcPr>
          <w:p>
            <w:pPr>
              <w:widowControl/>
              <w:jc w:val="center"/>
              <w:textAlignment w:val="center"/>
              <w:rPr>
                <w:color w:val="auto"/>
                <w:sz w:val="22"/>
                <w:szCs w:val="22"/>
                <w:highlight w:val="none"/>
              </w:rPr>
            </w:pPr>
            <w:r>
              <w:rPr>
                <w:rFonts w:hint="eastAsia" w:ascii="宋体" w:hAnsi="宋体" w:cs="宋体"/>
                <w:color w:val="auto"/>
                <w:kern w:val="0"/>
                <w:szCs w:val="21"/>
                <w:highlight w:val="none"/>
              </w:rPr>
              <w:t>0.89</w:t>
            </w:r>
          </w:p>
        </w:tc>
        <w:tc>
          <w:tcPr>
            <w:tcW w:w="1006" w:type="dxa"/>
            <w:noWrap w:val="0"/>
            <w:vAlign w:val="center"/>
          </w:tcPr>
          <w:p>
            <w:pPr>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资本利润率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11</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Times New Roman" w:eastAsia="宋体"/>
                <w:color w:val="auto"/>
                <w:kern w:val="0"/>
                <w:sz w:val="20"/>
                <w:szCs w:val="20"/>
                <w:highlight w:val="none"/>
                <w:lang w:val="en-US" w:eastAsia="zh-CN"/>
              </w:rPr>
              <w:t>3.26</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5.83</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成本收入比率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45</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92.76</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88.03</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restart"/>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流动性状况</w:t>
            </w:r>
          </w:p>
        </w:tc>
        <w:tc>
          <w:tcPr>
            <w:tcW w:w="2743"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流动性比例</w:t>
            </w:r>
          </w:p>
        </w:tc>
        <w:tc>
          <w:tcPr>
            <w:tcW w:w="1196" w:type="dxa"/>
            <w:noWrap w:val="0"/>
            <w:vAlign w:val="center"/>
          </w:tcPr>
          <w:p>
            <w:pPr>
              <w:widowControl/>
              <w:jc w:val="center"/>
              <w:textAlignment w:val="center"/>
              <w:rPr>
                <w:color w:val="auto"/>
                <w:highlight w:val="none"/>
              </w:rPr>
            </w:pPr>
            <w:r>
              <w:rPr>
                <w:rFonts w:hint="eastAsia" w:ascii="宋体" w:hAnsi="宋体" w:cs="宋体"/>
                <w:color w:val="auto"/>
                <w:kern w:val="0"/>
                <w:szCs w:val="21"/>
                <w:highlight w:val="none"/>
              </w:rPr>
              <w:t>≥</w:t>
            </w:r>
            <w:r>
              <w:rPr>
                <w:rStyle w:val="5"/>
                <w:color w:val="auto"/>
                <w:highlight w:val="none"/>
              </w:rPr>
              <w:t>25</w:t>
            </w:r>
          </w:p>
        </w:tc>
        <w:tc>
          <w:tcPr>
            <w:tcW w:w="1196" w:type="dxa"/>
            <w:noWrap w:val="0"/>
            <w:vAlign w:val="center"/>
          </w:tcPr>
          <w:p>
            <w:pPr>
              <w:widowControl/>
              <w:jc w:val="center"/>
              <w:textAlignment w:val="center"/>
              <w:rPr>
                <w:rFonts w:hint="eastAsia" w:eastAsia="宋体"/>
                <w:color w:val="auto"/>
                <w:sz w:val="22"/>
                <w:szCs w:val="22"/>
                <w:highlight w:val="none"/>
                <w:lang w:val="en-US" w:eastAsia="zh-CN"/>
              </w:rPr>
            </w:pPr>
            <w:r>
              <w:rPr>
                <w:rFonts w:hint="eastAsia" w:ascii="宋体" w:hAnsi="宋体" w:cs="宋体"/>
                <w:color w:val="auto"/>
                <w:kern w:val="0"/>
                <w:szCs w:val="21"/>
                <w:highlight w:val="none"/>
                <w:lang w:val="en-US" w:eastAsia="zh-CN"/>
              </w:rPr>
              <w:t>92.03</w:t>
            </w:r>
          </w:p>
        </w:tc>
        <w:tc>
          <w:tcPr>
            <w:tcW w:w="1196" w:type="dxa"/>
            <w:noWrap w:val="0"/>
            <w:vAlign w:val="center"/>
          </w:tcPr>
          <w:p>
            <w:pPr>
              <w:widowControl/>
              <w:jc w:val="center"/>
              <w:textAlignment w:val="center"/>
              <w:rPr>
                <w:color w:val="auto"/>
                <w:sz w:val="22"/>
                <w:szCs w:val="22"/>
                <w:highlight w:val="none"/>
              </w:rPr>
            </w:pPr>
            <w:r>
              <w:rPr>
                <w:rFonts w:hint="eastAsia" w:ascii="宋体" w:hAnsi="宋体" w:cs="宋体"/>
                <w:color w:val="auto"/>
                <w:kern w:val="0"/>
                <w:szCs w:val="21"/>
                <w:highlight w:val="none"/>
              </w:rPr>
              <w:t>55.91</w:t>
            </w:r>
          </w:p>
        </w:tc>
        <w:tc>
          <w:tcPr>
            <w:tcW w:w="1006" w:type="dxa"/>
            <w:noWrap w:val="0"/>
            <w:vAlign w:val="center"/>
          </w:tcPr>
          <w:p>
            <w:pPr>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净稳定资金比例</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100</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Times New Roman" w:eastAsia="宋体"/>
                <w:color w:val="auto"/>
                <w:kern w:val="0"/>
                <w:sz w:val="20"/>
                <w:szCs w:val="20"/>
                <w:highlight w:val="none"/>
                <w:lang w:val="en-US" w:eastAsia="zh-CN"/>
              </w:rPr>
              <w:t>——</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218.18</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超额备付率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3</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1.46</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2.14</w:t>
            </w:r>
          </w:p>
        </w:tc>
        <w:tc>
          <w:tcPr>
            <w:tcW w:w="1006" w:type="dxa"/>
            <w:noWrap w:val="0"/>
            <w:vAlign w:val="center"/>
          </w:tcPr>
          <w:p>
            <w:pPr>
              <w:jc w:val="center"/>
              <w:rPr>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736" w:type="dxa"/>
            <w:vMerge w:val="continue"/>
            <w:noWrap w:val="0"/>
            <w:vAlign w:val="center"/>
          </w:tcPr>
          <w:p>
            <w:pPr>
              <w:jc w:val="center"/>
              <w:rPr>
                <w:color w:val="auto"/>
                <w:kern w:val="0"/>
                <w:sz w:val="20"/>
                <w:szCs w:val="20"/>
                <w:highlight w:val="none"/>
              </w:rPr>
            </w:pPr>
          </w:p>
        </w:tc>
        <w:tc>
          <w:tcPr>
            <w:tcW w:w="2743"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存贷比率</w:t>
            </w:r>
          </w:p>
        </w:tc>
        <w:tc>
          <w:tcPr>
            <w:tcW w:w="1196" w:type="dxa"/>
            <w:noWrap w:val="0"/>
            <w:vAlign w:val="center"/>
          </w:tcPr>
          <w:p>
            <w:pPr>
              <w:widowControl/>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w:t>
            </w:r>
            <w:r>
              <w:rPr>
                <w:rStyle w:val="5"/>
                <w:color w:val="auto"/>
                <w:highlight w:val="none"/>
              </w:rPr>
              <w:t>75</w:t>
            </w:r>
          </w:p>
        </w:tc>
        <w:tc>
          <w:tcPr>
            <w:tcW w:w="1196" w:type="dxa"/>
            <w:noWrap w:val="0"/>
            <w:vAlign w:val="center"/>
          </w:tcPr>
          <w:p>
            <w:pPr>
              <w:widowControl/>
              <w:jc w:val="center"/>
              <w:textAlignment w:val="center"/>
              <w:rPr>
                <w:rFonts w:hint="eastAsia" w:eastAsia="宋体"/>
                <w:color w:val="auto"/>
                <w:kern w:val="0"/>
                <w:sz w:val="20"/>
                <w:szCs w:val="20"/>
                <w:highlight w:val="none"/>
                <w:lang w:val="en-US" w:eastAsia="zh-CN"/>
              </w:rPr>
            </w:pPr>
            <w:r>
              <w:rPr>
                <w:rFonts w:hint="eastAsia" w:ascii="宋体" w:hAnsi="宋体" w:cs="宋体"/>
                <w:color w:val="auto"/>
                <w:kern w:val="0"/>
                <w:szCs w:val="21"/>
                <w:highlight w:val="none"/>
                <w:lang w:val="en-US" w:eastAsia="zh-CN"/>
              </w:rPr>
              <w:t>48.82</w:t>
            </w:r>
          </w:p>
        </w:tc>
        <w:tc>
          <w:tcPr>
            <w:tcW w:w="1196" w:type="dxa"/>
            <w:noWrap w:val="0"/>
            <w:vAlign w:val="center"/>
          </w:tcPr>
          <w:p>
            <w:pPr>
              <w:widowControl/>
              <w:jc w:val="center"/>
              <w:textAlignment w:val="center"/>
              <w:rPr>
                <w:color w:val="auto"/>
                <w:kern w:val="0"/>
                <w:sz w:val="20"/>
                <w:szCs w:val="20"/>
                <w:highlight w:val="none"/>
              </w:rPr>
            </w:pPr>
            <w:r>
              <w:rPr>
                <w:rFonts w:hint="eastAsia" w:ascii="宋体" w:hAnsi="宋体" w:cs="宋体"/>
                <w:color w:val="auto"/>
                <w:kern w:val="0"/>
                <w:szCs w:val="21"/>
                <w:highlight w:val="none"/>
              </w:rPr>
              <w:t>52.7</w:t>
            </w:r>
          </w:p>
        </w:tc>
        <w:tc>
          <w:tcPr>
            <w:tcW w:w="1006" w:type="dxa"/>
            <w:noWrap w:val="0"/>
            <w:vAlign w:val="center"/>
          </w:tcPr>
          <w:p>
            <w:pPr>
              <w:rPr>
                <w:color w:val="auto"/>
                <w:kern w:val="0"/>
                <w:sz w:val="20"/>
                <w:szCs w:val="20"/>
                <w:highlight w:val="none"/>
              </w:rPr>
            </w:pPr>
          </w:p>
        </w:tc>
      </w:tr>
    </w:tbl>
    <w:p>
      <w:pPr>
        <w:rPr>
          <w:rFonts w:ascii="仿宋_GB2312" w:hAnsi="宋体" w:eastAsia="仿宋_GB2312" w:cs="Tahoma"/>
          <w:color w:val="auto"/>
          <w:kern w:val="0"/>
          <w:sz w:val="24"/>
          <w:highlight w:val="none"/>
        </w:rPr>
      </w:pPr>
      <w:r>
        <w:rPr>
          <w:rFonts w:hint="eastAsia" w:ascii="仿宋_GB2312" w:hAnsi="宋体" w:eastAsia="仿宋_GB2312" w:cs="Tahoma"/>
          <w:color w:val="auto"/>
          <w:kern w:val="0"/>
          <w:sz w:val="24"/>
          <w:highlight w:val="none"/>
        </w:rPr>
        <w:t>注： 资产利润率＝净利润/（年初资产总额/2＋年末资产总额/2）×100%</w:t>
      </w:r>
    </w:p>
    <w:p>
      <w:pPr>
        <w:ind w:firstLine="600" w:firstLineChars="250"/>
        <w:rPr>
          <w:rFonts w:ascii="仿宋_GB2312" w:hAnsi="宋体" w:eastAsia="仿宋_GB2312" w:cs="Tahoma"/>
          <w:color w:val="auto"/>
          <w:kern w:val="0"/>
          <w:sz w:val="24"/>
          <w:highlight w:val="none"/>
        </w:rPr>
      </w:pPr>
      <w:r>
        <w:rPr>
          <w:rFonts w:hint="eastAsia" w:ascii="仿宋_GB2312" w:hAnsi="宋体" w:eastAsia="仿宋_GB2312" w:cs="Tahoma"/>
          <w:color w:val="auto"/>
          <w:kern w:val="0"/>
          <w:sz w:val="24"/>
          <w:highlight w:val="none"/>
        </w:rPr>
        <w:t>资本利润率＝净利润/（年初所有者权益/2＋年末所有者权益/2）×100%</w:t>
      </w:r>
    </w:p>
    <w:p>
      <w:pPr>
        <w:ind w:firstLine="570"/>
        <w:rPr>
          <w:rFonts w:ascii="仿宋_GB2312" w:hAnsi="宋体" w:eastAsia="仿宋_GB2312" w:cs="Tahoma"/>
          <w:color w:val="auto"/>
          <w:kern w:val="0"/>
          <w:sz w:val="28"/>
          <w:szCs w:val="28"/>
          <w:highlight w:val="none"/>
        </w:rPr>
      </w:pPr>
      <w:r>
        <w:rPr>
          <w:rFonts w:hint="eastAsia" w:ascii="黑体" w:hAnsi="黑体" w:eastAsia="黑体" w:cs="Tahoma"/>
          <w:color w:val="auto"/>
          <w:kern w:val="0"/>
          <w:sz w:val="28"/>
          <w:szCs w:val="28"/>
          <w:highlight w:val="none"/>
        </w:rPr>
        <w:t>四、股东权益变动情况</w:t>
      </w:r>
      <w:r>
        <w:rPr>
          <w:rFonts w:hint="eastAsia" w:ascii="仿宋_GB2312" w:hAnsi="宋体" w:eastAsia="仿宋_GB2312" w:cs="Tahoma"/>
          <w:color w:val="auto"/>
          <w:kern w:val="0"/>
          <w:sz w:val="28"/>
          <w:szCs w:val="28"/>
          <w:highlight w:val="none"/>
        </w:rPr>
        <w:t>　　　　　　　　　单位：人民币万元</w:t>
      </w:r>
    </w:p>
    <w:tbl>
      <w:tblPr>
        <w:tblStyle w:val="2"/>
        <w:tblW w:w="8982"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45"/>
        <w:gridCol w:w="1225"/>
        <w:gridCol w:w="1223"/>
        <w:gridCol w:w="1222"/>
        <w:gridCol w:w="1087"/>
        <w:gridCol w:w="1220"/>
        <w:gridCol w:w="13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 w:hRule="atLeast"/>
          <w:tblCellSpacing w:w="0" w:type="dxa"/>
        </w:trPr>
        <w:tc>
          <w:tcPr>
            <w:tcW w:w="164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项　　　目</w:t>
            </w:r>
          </w:p>
        </w:tc>
        <w:tc>
          <w:tcPr>
            <w:tcW w:w="122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股本</w:t>
            </w:r>
          </w:p>
        </w:tc>
        <w:tc>
          <w:tcPr>
            <w:tcW w:w="1223"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资本公积</w:t>
            </w:r>
          </w:p>
        </w:tc>
        <w:tc>
          <w:tcPr>
            <w:tcW w:w="122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盈余公积</w:t>
            </w:r>
          </w:p>
        </w:tc>
        <w:tc>
          <w:tcPr>
            <w:tcW w:w="1087"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一般准备</w:t>
            </w:r>
          </w:p>
        </w:tc>
        <w:tc>
          <w:tcPr>
            <w:tcW w:w="122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未分配利润</w:t>
            </w:r>
          </w:p>
        </w:tc>
        <w:tc>
          <w:tcPr>
            <w:tcW w:w="136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股东权益合计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期初数</w:t>
            </w:r>
          </w:p>
        </w:tc>
        <w:tc>
          <w:tcPr>
            <w:tcW w:w="122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8000</w:t>
            </w:r>
          </w:p>
        </w:tc>
        <w:tc>
          <w:tcPr>
            <w:tcW w:w="1223"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087"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179.84</w:t>
            </w:r>
          </w:p>
        </w:tc>
        <w:tc>
          <w:tcPr>
            <w:tcW w:w="122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-661.17</w:t>
            </w:r>
          </w:p>
        </w:tc>
        <w:tc>
          <w:tcPr>
            <w:tcW w:w="136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7305.41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本期增加</w:t>
            </w:r>
          </w:p>
        </w:tc>
        <w:tc>
          <w:tcPr>
            <w:tcW w:w="122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3"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087"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28.77</w:t>
            </w:r>
          </w:p>
        </w:tc>
        <w:tc>
          <w:tcPr>
            <w:tcW w:w="136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242.02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本期减少</w:t>
            </w:r>
          </w:p>
        </w:tc>
        <w:tc>
          <w:tcPr>
            <w:tcW w:w="122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3"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087"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Times New Roman" w:eastAsia="宋体"/>
                <w:color w:val="auto"/>
                <w:sz w:val="21"/>
                <w:szCs w:val="21"/>
                <w:highlight w:val="none"/>
                <w:lang w:val="en-US" w:eastAsia="zh-CN"/>
              </w:rPr>
              <w:t>0</w:t>
            </w:r>
          </w:p>
        </w:tc>
        <w:tc>
          <w:tcPr>
            <w:tcW w:w="136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64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期末数</w:t>
            </w:r>
          </w:p>
        </w:tc>
        <w:tc>
          <w:tcPr>
            <w:tcW w:w="1225"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8000</w:t>
            </w:r>
          </w:p>
        </w:tc>
        <w:tc>
          <w:tcPr>
            <w:tcW w:w="1223"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222"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0</w:t>
            </w:r>
          </w:p>
        </w:tc>
        <w:tc>
          <w:tcPr>
            <w:tcW w:w="1087"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color w:val="auto"/>
                <w:sz w:val="21"/>
                <w:szCs w:val="21"/>
                <w:highlight w:val="none"/>
              </w:rPr>
            </w:pPr>
            <w:r>
              <w:rPr>
                <w:rFonts w:hint="eastAsia" w:ascii="宋体" w:hAnsi="宋体" w:cs="宋体"/>
                <w:color w:val="auto"/>
                <w:kern w:val="0"/>
                <w:sz w:val="21"/>
                <w:szCs w:val="21"/>
                <w:highlight w:val="none"/>
              </w:rPr>
              <w:t>179.84</w:t>
            </w:r>
          </w:p>
        </w:tc>
        <w:tc>
          <w:tcPr>
            <w:tcW w:w="122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632.40</w:t>
            </w:r>
          </w:p>
        </w:tc>
        <w:tc>
          <w:tcPr>
            <w:tcW w:w="1360" w:type="dxa"/>
            <w:tcBorders>
              <w:top w:val="outset" w:color="auto" w:sz="6" w:space="0"/>
              <w:left w:val="outset" w:color="auto" w:sz="6" w:space="0"/>
              <w:bottom w:val="outset" w:color="auto" w:sz="6" w:space="0"/>
              <w:right w:val="outset" w:color="auto" w:sz="6" w:space="0"/>
            </w:tcBorders>
            <w:noWrap w:val="0"/>
            <w:vAlign w:val="top"/>
          </w:tcPr>
          <w:p>
            <w:pPr>
              <w:widowControl/>
              <w:jc w:val="center"/>
              <w:textAlignment w:val="top"/>
              <w:rPr>
                <w:rFonts w:hint="eastAsia" w:eastAsia="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7547.43</w:t>
            </w:r>
          </w:p>
        </w:tc>
      </w:tr>
    </w:tbl>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ˎ̥" w:eastAsia="仿宋_GB2312" w:cs="Tahoma"/>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第四章　风险管理</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一、信用风险</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信用风险是指债务人或交易对手未能履行合同所规定的义务或信用质量发生变化，影响金融产品价值，从而给债权人或金融产品持有人造成经济损失的风险。</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hint="eastAsia" w:ascii="仿宋_GB2312" w:hAnsi="??" w:eastAsia="仿宋_GB2312" w:cs="Tahoma"/>
          <w:color w:val="auto"/>
          <w:kern w:val="0"/>
          <w:sz w:val="30"/>
          <w:szCs w:val="30"/>
          <w:highlight w:val="none"/>
          <w:lang w:eastAsia="zh-CN"/>
        </w:rPr>
      </w:pPr>
      <w:r>
        <w:rPr>
          <w:rFonts w:ascii="仿宋_GB2312" w:hAnsi="??" w:eastAsia="仿宋_GB2312" w:cs="Tahoma"/>
          <w:color w:val="auto"/>
          <w:kern w:val="0"/>
          <w:sz w:val="30"/>
          <w:szCs w:val="30"/>
          <w:highlight w:val="none"/>
        </w:rPr>
        <w:t>20</w:t>
      </w:r>
      <w:r>
        <w:rPr>
          <w:rFonts w:hint="eastAsia" w:ascii="仿宋_GB2312" w:hAnsi="??" w:eastAsia="仿宋_GB2312" w:cs="Tahoma"/>
          <w:color w:val="auto"/>
          <w:kern w:val="0"/>
          <w:sz w:val="30"/>
          <w:szCs w:val="30"/>
          <w:highlight w:val="none"/>
          <w:lang w:val="en-US" w:eastAsia="zh-CN"/>
        </w:rPr>
        <w:t>19</w:t>
      </w:r>
      <w:r>
        <w:rPr>
          <w:rFonts w:hint="eastAsia" w:ascii="仿宋_GB2312" w:hAnsi="??" w:eastAsia="仿宋_GB2312" w:cs="Tahoma"/>
          <w:color w:val="auto"/>
          <w:kern w:val="0"/>
          <w:sz w:val="30"/>
          <w:szCs w:val="30"/>
          <w:highlight w:val="none"/>
        </w:rPr>
        <w:t>年，鉴于本行信用风险主要来源于信贷业务</w:t>
      </w:r>
      <w:r>
        <w:rPr>
          <w:rFonts w:hint="eastAsia" w:ascii="仿宋_GB2312" w:hAnsi="??" w:eastAsia="仿宋_GB2312" w:cs="Tahoma"/>
          <w:color w:val="auto"/>
          <w:kern w:val="0"/>
          <w:sz w:val="30"/>
          <w:szCs w:val="30"/>
          <w:highlight w:val="none"/>
          <w:lang w:eastAsia="zh-CN"/>
        </w:rPr>
        <w:t>，</w:t>
      </w:r>
      <w:r>
        <w:rPr>
          <w:rFonts w:hint="eastAsia" w:ascii="仿宋_GB2312" w:hAnsi="??" w:eastAsia="仿宋_GB2312" w:cs="Tahoma"/>
          <w:color w:val="auto"/>
          <w:kern w:val="0"/>
          <w:sz w:val="30"/>
          <w:szCs w:val="30"/>
          <w:highlight w:val="none"/>
        </w:rPr>
        <w:t>本行通过</w:t>
      </w:r>
      <w:r>
        <w:rPr>
          <w:rFonts w:hint="eastAsia" w:ascii="仿宋_GB2312" w:hAnsi="??" w:eastAsia="仿宋_GB2312" w:cs="Tahoma"/>
          <w:color w:val="auto"/>
          <w:kern w:val="0"/>
          <w:sz w:val="30"/>
          <w:szCs w:val="30"/>
          <w:highlight w:val="none"/>
          <w:lang w:eastAsia="zh-CN"/>
        </w:rPr>
        <w:t>业务导向、授信准入、完善信贷流程、强化清收管理</w:t>
      </w:r>
      <w:r>
        <w:rPr>
          <w:rFonts w:hint="eastAsia" w:ascii="仿宋_GB2312" w:hAnsi="??" w:eastAsia="仿宋_GB2312" w:cs="Tahoma"/>
          <w:color w:val="auto"/>
          <w:kern w:val="0"/>
          <w:sz w:val="30"/>
          <w:szCs w:val="30"/>
          <w:highlight w:val="none"/>
        </w:rPr>
        <w:t>来控制和管理此类风险：</w:t>
      </w:r>
      <w:r>
        <w:rPr>
          <w:rFonts w:hint="eastAsia" w:ascii="仿宋_GB2312" w:hAnsi="??" w:eastAsia="仿宋_GB2312" w:cs="Tahoma"/>
          <w:b/>
          <w:color w:val="auto"/>
          <w:kern w:val="0"/>
          <w:sz w:val="30"/>
          <w:szCs w:val="30"/>
          <w:highlight w:val="none"/>
        </w:rPr>
        <w:t>一是</w:t>
      </w:r>
      <w:r>
        <w:rPr>
          <w:rFonts w:hint="eastAsia" w:ascii="仿宋_GB2312" w:hAnsi="??" w:eastAsia="仿宋_GB2312" w:cs="Tahoma"/>
          <w:color w:val="auto"/>
          <w:kern w:val="0"/>
          <w:sz w:val="30"/>
          <w:szCs w:val="30"/>
          <w:highlight w:val="none"/>
          <w:lang w:eastAsia="zh-CN"/>
        </w:rPr>
        <w:t>坚持“支农、支小”市场定位，重于发放单户10万元及以下小额贷款。</w:t>
      </w:r>
      <w:r>
        <w:rPr>
          <w:rFonts w:hint="eastAsia" w:ascii="仿宋_GB2312" w:hAnsi="??" w:eastAsia="仿宋_GB2312" w:cs="Tahoma"/>
          <w:color w:val="auto"/>
          <w:kern w:val="0"/>
          <w:sz w:val="30"/>
          <w:szCs w:val="30"/>
          <w:highlight w:val="none"/>
        </w:rPr>
        <w:t>注重第一还款来源，严防随意授信、过度授信</w:t>
      </w:r>
      <w:r>
        <w:rPr>
          <w:rFonts w:hint="eastAsia" w:ascii="仿宋_GB2312" w:hAnsi="??" w:eastAsia="仿宋_GB2312" w:cs="Tahoma"/>
          <w:color w:val="auto"/>
          <w:kern w:val="0"/>
          <w:sz w:val="30"/>
          <w:szCs w:val="30"/>
          <w:highlight w:val="none"/>
          <w:lang w:eastAsia="zh-CN"/>
        </w:rPr>
        <w:t>。</w:t>
      </w:r>
      <w:r>
        <w:rPr>
          <w:rFonts w:hint="eastAsia" w:ascii="仿宋_GB2312" w:hAnsi="??" w:eastAsia="仿宋_GB2312" w:cs="Tahoma"/>
          <w:b/>
          <w:color w:val="auto"/>
          <w:kern w:val="0"/>
          <w:sz w:val="30"/>
          <w:szCs w:val="30"/>
          <w:highlight w:val="none"/>
        </w:rPr>
        <w:t>二是</w:t>
      </w:r>
      <w:r>
        <w:rPr>
          <w:rFonts w:hint="eastAsia" w:ascii="仿宋_GB2312" w:hAnsi="??" w:eastAsia="仿宋_GB2312" w:cs="Tahoma"/>
          <w:b w:val="0"/>
          <w:bCs/>
          <w:color w:val="auto"/>
          <w:kern w:val="0"/>
          <w:sz w:val="30"/>
          <w:szCs w:val="30"/>
          <w:highlight w:val="none"/>
          <w:lang w:eastAsia="zh-CN"/>
        </w:rPr>
        <w:t>加强大额贷款评价机制，</w:t>
      </w:r>
      <w:r>
        <w:rPr>
          <w:rFonts w:ascii="仿宋_GB2312" w:hAnsi="仿宋_GB2312" w:eastAsia="仿宋_GB2312" w:cs="仿宋_GB2312"/>
          <w:color w:val="auto"/>
          <w:sz w:val="30"/>
          <w:szCs w:val="30"/>
          <w:highlight w:val="none"/>
        </w:rPr>
        <w:t>20</w:t>
      </w:r>
      <w:r>
        <w:rPr>
          <w:rFonts w:hint="eastAsia" w:ascii="仿宋_GB2312" w:hAnsi="仿宋_GB2312" w:eastAsia="仿宋_GB2312" w:cs="仿宋_GB2312"/>
          <w:color w:val="auto"/>
          <w:sz w:val="30"/>
          <w:szCs w:val="30"/>
          <w:highlight w:val="none"/>
        </w:rPr>
        <w:t>万以上授信需由风险管理部负责人核查，</w:t>
      </w:r>
      <w:r>
        <w:rPr>
          <w:rFonts w:ascii="仿宋_GB2312" w:hAnsi="仿宋_GB2312" w:eastAsia="仿宋_GB2312" w:cs="仿宋_GB2312"/>
          <w:color w:val="auto"/>
          <w:sz w:val="30"/>
          <w:szCs w:val="30"/>
          <w:highlight w:val="none"/>
        </w:rPr>
        <w:t>50</w:t>
      </w:r>
      <w:r>
        <w:rPr>
          <w:rFonts w:hint="eastAsia" w:ascii="仿宋_GB2312" w:hAnsi="仿宋_GB2312" w:eastAsia="仿宋_GB2312" w:cs="仿宋_GB2312"/>
          <w:color w:val="auto"/>
          <w:sz w:val="30"/>
          <w:szCs w:val="30"/>
          <w:highlight w:val="none"/>
        </w:rPr>
        <w:t>万以上需由风控行长上门核查，</w:t>
      </w:r>
      <w:r>
        <w:rPr>
          <w:rFonts w:ascii="仿宋_GB2312" w:hAnsi="仿宋_GB2312" w:eastAsia="仿宋_GB2312" w:cs="仿宋_GB2312"/>
          <w:color w:val="auto"/>
          <w:sz w:val="30"/>
          <w:szCs w:val="30"/>
          <w:highlight w:val="none"/>
        </w:rPr>
        <w:t>100</w:t>
      </w:r>
      <w:r>
        <w:rPr>
          <w:rFonts w:hint="eastAsia" w:ascii="仿宋_GB2312" w:hAnsi="仿宋_GB2312" w:eastAsia="仿宋_GB2312" w:cs="仿宋_GB2312"/>
          <w:color w:val="auto"/>
          <w:sz w:val="30"/>
          <w:szCs w:val="30"/>
          <w:highlight w:val="none"/>
        </w:rPr>
        <w:t>万以上需由行长上门核查</w:t>
      </w:r>
      <w:r>
        <w:rPr>
          <w:rFonts w:hint="eastAsia" w:ascii="仿宋_GB2312" w:hAnsi="仿宋_GB2312" w:eastAsia="仿宋_GB2312" w:cs="仿宋_GB2312"/>
          <w:color w:val="auto"/>
          <w:sz w:val="30"/>
          <w:szCs w:val="30"/>
          <w:highlight w:val="none"/>
          <w:lang w:eastAsia="zh-CN"/>
        </w:rPr>
        <w:t>并</w:t>
      </w:r>
      <w:r>
        <w:rPr>
          <w:rFonts w:hint="eastAsia" w:ascii="仿宋_GB2312" w:hAnsi="仿宋_GB2312" w:eastAsia="仿宋_GB2312" w:cs="仿宋_GB2312"/>
          <w:color w:val="auto"/>
          <w:sz w:val="30"/>
          <w:szCs w:val="30"/>
          <w:highlight w:val="none"/>
        </w:rPr>
        <w:t>提出风险评价意见。</w:t>
      </w:r>
      <w:r>
        <w:rPr>
          <w:rFonts w:hint="eastAsia" w:ascii="仿宋_GB2312" w:hAnsi="仿宋_GB2312" w:eastAsia="仿宋_GB2312" w:cs="仿宋_GB2312"/>
          <w:b/>
          <w:bCs/>
          <w:color w:val="auto"/>
          <w:sz w:val="30"/>
          <w:szCs w:val="30"/>
          <w:highlight w:val="none"/>
          <w:lang w:eastAsia="zh-CN"/>
        </w:rPr>
        <w:t>三是</w:t>
      </w:r>
      <w:r>
        <w:rPr>
          <w:rFonts w:hint="eastAsia" w:ascii="仿宋_GB2312" w:hAnsi="仿宋_GB2312" w:eastAsia="仿宋_GB2312" w:cs="仿宋_GB2312"/>
          <w:color w:val="auto"/>
          <w:sz w:val="30"/>
          <w:szCs w:val="30"/>
          <w:highlight w:val="none"/>
        </w:rPr>
        <w:t>完善各项信贷管理制度，充分讲透哪些能做、哪些不能做、哪些要进行处罚、哪些要进行鼓励，形成最低防控要求。</w:t>
      </w:r>
      <w:r>
        <w:rPr>
          <w:rFonts w:hint="eastAsia" w:ascii="仿宋_GB2312" w:hAnsi="仿宋_GB2312" w:eastAsia="仿宋_GB2312" w:cs="仿宋_GB2312"/>
          <w:b/>
          <w:bCs/>
          <w:color w:val="auto"/>
          <w:sz w:val="30"/>
          <w:szCs w:val="30"/>
          <w:highlight w:val="none"/>
          <w:lang w:eastAsia="zh-CN"/>
        </w:rPr>
        <w:t>四是</w:t>
      </w:r>
      <w:r>
        <w:rPr>
          <w:rFonts w:hint="eastAsia" w:ascii="仿宋_GB2312" w:hAnsi="仿宋_GB2312" w:eastAsia="仿宋_GB2312" w:cs="仿宋_GB2312"/>
          <w:color w:val="auto"/>
          <w:sz w:val="30"/>
          <w:szCs w:val="30"/>
          <w:highlight w:val="none"/>
        </w:rPr>
        <w:t>优化信贷流程，遵循“低风险短流程，高风险严流程”准则，建立后台独立审查人员</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b/>
          <w:bCs/>
          <w:color w:val="auto"/>
          <w:sz w:val="30"/>
          <w:szCs w:val="30"/>
          <w:highlight w:val="none"/>
          <w:lang w:eastAsia="zh-CN"/>
        </w:rPr>
        <w:t>五是</w:t>
      </w:r>
      <w:r>
        <w:rPr>
          <w:rFonts w:hint="eastAsia" w:ascii="仿宋_GB2312" w:hAnsi="仿宋_GB2312" w:eastAsia="仿宋_GB2312" w:cs="仿宋_GB2312"/>
          <w:color w:val="auto"/>
          <w:sz w:val="30"/>
          <w:szCs w:val="30"/>
          <w:highlight w:val="none"/>
          <w:lang w:eastAsia="zh-CN"/>
        </w:rPr>
        <w:t>对不良贷款逐笔制定清收处置方案，明确清收时间和清收责任人，</w:t>
      </w:r>
      <w:r>
        <w:rPr>
          <w:rFonts w:hint="eastAsia" w:ascii="仿宋_GB2312" w:hAnsi="仿宋_GB2312" w:eastAsia="仿宋_GB2312" w:cs="仿宋_GB2312"/>
          <w:color w:val="auto"/>
          <w:sz w:val="30"/>
          <w:szCs w:val="30"/>
          <w:highlight w:val="none"/>
        </w:rPr>
        <w:t>对单户</w:t>
      </w:r>
      <w:r>
        <w:rPr>
          <w:rFonts w:ascii="仿宋_GB2312" w:hAnsi="仿宋_GB2312" w:eastAsia="仿宋_GB2312" w:cs="仿宋_GB2312"/>
          <w:color w:val="auto"/>
          <w:sz w:val="30"/>
          <w:szCs w:val="30"/>
          <w:highlight w:val="none"/>
        </w:rPr>
        <w:t>50</w:t>
      </w:r>
      <w:r>
        <w:rPr>
          <w:rFonts w:hint="eastAsia" w:ascii="仿宋_GB2312" w:hAnsi="仿宋_GB2312" w:eastAsia="仿宋_GB2312" w:cs="仿宋_GB2312"/>
          <w:color w:val="auto"/>
          <w:sz w:val="30"/>
          <w:szCs w:val="30"/>
          <w:highlight w:val="none"/>
        </w:rPr>
        <w:t>万元（含）以上实际不良贷款实行领导班子集体领办制</w:t>
      </w:r>
      <w:r>
        <w:rPr>
          <w:rFonts w:hint="eastAsia" w:ascii="仿宋_GB2312" w:hAnsi="仿宋_GB2312" w:eastAsia="仿宋_GB2312" w:cs="仿宋_GB2312"/>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二、市场风险</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市场风险是指市场价格（利率、汇率、股票价格和商品价格）的不利变动而使银行的表内外业务发生损失的风险。</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仿宋_GB2312" w:hAnsi="??" w:eastAsia="仿宋_GB2312" w:cs="Tahoma"/>
          <w:color w:val="auto"/>
          <w:kern w:val="0"/>
          <w:sz w:val="30"/>
          <w:szCs w:val="30"/>
          <w:highlight w:val="none"/>
        </w:rPr>
      </w:pPr>
      <w:r>
        <w:rPr>
          <w:rFonts w:ascii="仿宋_GB2312" w:hAnsi="??" w:eastAsia="仿宋_GB2312" w:cs="Tahoma"/>
          <w:color w:val="auto"/>
          <w:kern w:val="0"/>
          <w:sz w:val="30"/>
          <w:szCs w:val="30"/>
          <w:highlight w:val="none"/>
        </w:rPr>
        <w:t>201</w:t>
      </w:r>
      <w:r>
        <w:rPr>
          <w:rFonts w:hint="eastAsia" w:ascii="仿宋_GB2312" w:hAnsi="??" w:eastAsia="仿宋_GB2312" w:cs="Tahoma"/>
          <w:color w:val="auto"/>
          <w:kern w:val="0"/>
          <w:sz w:val="30"/>
          <w:szCs w:val="30"/>
          <w:highlight w:val="none"/>
        </w:rPr>
        <w:t>8年，为防范本行市场风险，主要来自于利率风险的影响：</w:t>
      </w:r>
      <w:r>
        <w:rPr>
          <w:rFonts w:hint="eastAsia" w:ascii="仿宋_GB2312" w:hAnsi="??" w:eastAsia="仿宋_GB2312" w:cs="Tahoma"/>
          <w:b/>
          <w:color w:val="auto"/>
          <w:kern w:val="0"/>
          <w:sz w:val="30"/>
          <w:szCs w:val="30"/>
          <w:highlight w:val="none"/>
        </w:rPr>
        <w:t>一是</w:t>
      </w:r>
      <w:r>
        <w:rPr>
          <w:rFonts w:hint="eastAsia" w:ascii="仿宋_GB2312" w:hAnsi="??" w:eastAsia="仿宋_GB2312" w:cs="Tahoma"/>
          <w:color w:val="auto"/>
          <w:kern w:val="0"/>
          <w:sz w:val="30"/>
          <w:szCs w:val="30"/>
          <w:highlight w:val="none"/>
        </w:rPr>
        <w:t>建立完善垂直独立、相互配合的市场风险管理的组织框架；</w:t>
      </w:r>
      <w:r>
        <w:rPr>
          <w:rFonts w:hint="eastAsia" w:ascii="仿宋_GB2312" w:hAnsi="??" w:eastAsia="仿宋_GB2312" w:cs="Tahoma"/>
          <w:b/>
          <w:color w:val="auto"/>
          <w:kern w:val="0"/>
          <w:sz w:val="30"/>
          <w:szCs w:val="30"/>
          <w:highlight w:val="none"/>
        </w:rPr>
        <w:t>二是</w:t>
      </w:r>
      <w:r>
        <w:rPr>
          <w:rFonts w:hint="eastAsia" w:ascii="仿宋_GB2312" w:hAnsi="??" w:eastAsia="仿宋_GB2312" w:cs="Tahoma"/>
          <w:color w:val="auto"/>
          <w:kern w:val="0"/>
          <w:sz w:val="30"/>
          <w:szCs w:val="30"/>
          <w:highlight w:val="none"/>
        </w:rPr>
        <w:t>修订利率定价管理机制，开展利率风险对收益影响的分析测算；</w:t>
      </w:r>
      <w:r>
        <w:rPr>
          <w:rFonts w:hint="eastAsia" w:ascii="仿宋_GB2312" w:hAnsi="??" w:eastAsia="仿宋_GB2312" w:cs="Tahoma"/>
          <w:b/>
          <w:color w:val="auto"/>
          <w:kern w:val="0"/>
          <w:sz w:val="30"/>
          <w:szCs w:val="30"/>
          <w:highlight w:val="none"/>
        </w:rPr>
        <w:t>三是</w:t>
      </w:r>
      <w:r>
        <w:rPr>
          <w:rFonts w:hint="eastAsia" w:ascii="仿宋_GB2312" w:hAnsi="??" w:eastAsia="仿宋_GB2312" w:cs="Tahoma"/>
          <w:color w:val="auto"/>
          <w:kern w:val="0"/>
          <w:sz w:val="30"/>
          <w:szCs w:val="30"/>
          <w:highlight w:val="none"/>
        </w:rPr>
        <w:t>积极适应利率市场化趋势，结合本行实际，进一步优化本行存、贷利率结构。</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三、流动性风险</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流动性风险是指银行因无力为负债的减少和资产的增加提供融资而造成损失或破产的可能性。</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hint="eastAsia" w:ascii="仿宋_GB2312" w:hAnsi="??" w:eastAsia="仿宋_GB2312" w:cs="Tahoma"/>
          <w:b/>
          <w:color w:val="auto"/>
          <w:kern w:val="0"/>
          <w:sz w:val="30"/>
          <w:szCs w:val="30"/>
          <w:highlight w:val="none"/>
        </w:rPr>
      </w:pPr>
      <w:r>
        <w:rPr>
          <w:rFonts w:ascii="仿宋_GB2312" w:hAnsi="??" w:eastAsia="仿宋_GB2312" w:cs="Tahoma"/>
          <w:color w:val="auto"/>
          <w:kern w:val="0"/>
          <w:sz w:val="30"/>
          <w:szCs w:val="30"/>
          <w:highlight w:val="none"/>
        </w:rPr>
        <w:t>201</w:t>
      </w:r>
      <w:r>
        <w:rPr>
          <w:rFonts w:hint="eastAsia" w:ascii="仿宋_GB2312" w:hAnsi="??" w:eastAsia="仿宋_GB2312" w:cs="Tahoma"/>
          <w:color w:val="auto"/>
          <w:kern w:val="0"/>
          <w:sz w:val="30"/>
          <w:szCs w:val="30"/>
          <w:highlight w:val="none"/>
          <w:lang w:val="en-US" w:eastAsia="zh-CN"/>
        </w:rPr>
        <w:t>9</w:t>
      </w:r>
      <w:r>
        <w:rPr>
          <w:rFonts w:hint="eastAsia" w:ascii="仿宋_GB2312" w:hAnsi="??" w:eastAsia="仿宋_GB2312" w:cs="Tahoma"/>
          <w:color w:val="auto"/>
          <w:kern w:val="0"/>
          <w:sz w:val="30"/>
          <w:szCs w:val="30"/>
          <w:highlight w:val="none"/>
        </w:rPr>
        <w:t>年，本行为控制流动性风险，在资产负债结构、流动性监测等方面，增强了管理力度：</w:t>
      </w:r>
      <w:r>
        <w:rPr>
          <w:rFonts w:hint="eastAsia" w:ascii="仿宋_GB2312" w:hAnsi="??" w:eastAsia="仿宋_GB2312" w:cs="Tahoma"/>
          <w:b/>
          <w:color w:val="auto"/>
          <w:kern w:val="0"/>
          <w:sz w:val="30"/>
          <w:szCs w:val="30"/>
          <w:highlight w:val="none"/>
        </w:rPr>
        <w:t>一是</w:t>
      </w:r>
      <w:r>
        <w:rPr>
          <w:rFonts w:hint="eastAsia" w:ascii="仿宋_GB2312" w:hAnsi="??" w:eastAsia="仿宋_GB2312" w:cs="Tahoma"/>
          <w:color w:val="auto"/>
          <w:kern w:val="0"/>
          <w:sz w:val="30"/>
          <w:szCs w:val="30"/>
          <w:highlight w:val="none"/>
        </w:rPr>
        <w:t>建立健全应急管理机制，落实责任部门和人员负责资金头寸的日常监测与分析，关注负债规模和期限结构的异常变动。</w:t>
      </w:r>
      <w:r>
        <w:rPr>
          <w:rFonts w:hint="eastAsia" w:ascii="仿宋_GB2312" w:hAnsi="??" w:eastAsia="仿宋_GB2312" w:cs="Tahoma"/>
          <w:b/>
          <w:bCs/>
          <w:color w:val="auto"/>
          <w:kern w:val="0"/>
          <w:sz w:val="30"/>
          <w:szCs w:val="30"/>
          <w:highlight w:val="none"/>
          <w:lang w:eastAsia="zh-CN"/>
        </w:rPr>
        <w:t>二是</w:t>
      </w:r>
      <w:r>
        <w:rPr>
          <w:rFonts w:hint="eastAsia" w:ascii="仿宋_GB2312" w:hAnsi="仿宋_GB2312" w:eastAsia="仿宋_GB2312" w:cs="仿宋_GB2312"/>
          <w:b w:val="0"/>
          <w:bCs w:val="0"/>
          <w:color w:val="auto"/>
          <w:sz w:val="30"/>
          <w:szCs w:val="30"/>
          <w:highlight w:val="none"/>
          <w:lang w:eastAsia="zh-CN"/>
        </w:rPr>
        <w:t>本行与发起行签订的有流动性协议支持，并</w:t>
      </w:r>
      <w:r>
        <w:rPr>
          <w:rFonts w:hint="eastAsia" w:ascii="仿宋_GB2312" w:hAnsi="仿宋_GB2312" w:eastAsia="仿宋_GB2312" w:cs="仿宋_GB2312"/>
          <w:color w:val="auto"/>
          <w:sz w:val="30"/>
          <w:szCs w:val="30"/>
          <w:highlight w:val="none"/>
        </w:rPr>
        <w:t>根据建立的流动性预警机制和应急预案，</w:t>
      </w:r>
      <w:r>
        <w:rPr>
          <w:rFonts w:hint="eastAsia" w:ascii="仿宋_GB2312" w:hAnsi="仿宋_GB2312" w:eastAsia="仿宋_GB2312" w:cs="仿宋_GB2312"/>
          <w:color w:val="auto"/>
          <w:sz w:val="30"/>
          <w:szCs w:val="30"/>
          <w:highlight w:val="none"/>
          <w:lang w:eastAsia="zh-CN"/>
        </w:rPr>
        <w:t>定期</w:t>
      </w:r>
      <w:r>
        <w:rPr>
          <w:rFonts w:hint="eastAsia" w:ascii="仿宋_GB2312" w:hAnsi="仿宋_GB2312" w:eastAsia="仿宋_GB2312" w:cs="仿宋_GB2312"/>
          <w:color w:val="auto"/>
          <w:sz w:val="30"/>
          <w:szCs w:val="30"/>
          <w:highlight w:val="none"/>
        </w:rPr>
        <w:t>开展流动性压力测试和风险应急演练。</w:t>
      </w:r>
      <w:r>
        <w:rPr>
          <w:rFonts w:hint="eastAsia" w:ascii="仿宋_GB2312" w:hAnsi="仿宋_GB2312" w:eastAsia="仿宋_GB2312" w:cs="仿宋_GB2312"/>
          <w:b/>
          <w:bCs/>
          <w:color w:val="auto"/>
          <w:sz w:val="30"/>
          <w:szCs w:val="30"/>
          <w:highlight w:val="none"/>
          <w:lang w:eastAsia="zh-CN"/>
        </w:rPr>
        <w:t>三是</w:t>
      </w:r>
      <w:r>
        <w:rPr>
          <w:rFonts w:hint="eastAsia" w:ascii="仿宋_GB2312" w:hAnsi="仿宋_GB2312" w:eastAsia="仿宋_GB2312" w:cs="仿宋_GB2312"/>
          <w:color w:val="auto"/>
          <w:sz w:val="30"/>
          <w:szCs w:val="30"/>
          <w:highlight w:val="none"/>
        </w:rPr>
        <w:t>在信贷投放方向、投放量、投放时间等方面做好统筹工作，努力提高信贷资金的到期变现能力，多举措实现资金的优化配置，以增强资金的效益性和流动性。</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四、操作风险</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操作风险是指由不完善或有问题的内部程序、人员及系统或外部事件造成的风险。</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outlineLvl w:val="9"/>
        <w:rPr>
          <w:rFonts w:hint="eastAsia" w:ascii="仿宋_GB2312" w:hAnsi="仿宋_GB2312" w:eastAsia="仿宋_GB2312" w:cs="仿宋_GB2312"/>
          <w:b w:val="0"/>
          <w:bCs w:val="0"/>
          <w:color w:val="auto"/>
          <w:kern w:val="0"/>
          <w:sz w:val="30"/>
          <w:szCs w:val="30"/>
          <w:highlight w:val="none"/>
          <w:lang w:eastAsia="zh-CN"/>
        </w:rPr>
      </w:pPr>
      <w:r>
        <w:rPr>
          <w:rFonts w:ascii="仿宋_GB2312" w:hAnsi="??" w:eastAsia="仿宋_GB2312" w:cs="Tahoma"/>
          <w:color w:val="auto"/>
          <w:kern w:val="0"/>
          <w:sz w:val="30"/>
          <w:szCs w:val="30"/>
          <w:highlight w:val="none"/>
        </w:rPr>
        <w:t>20</w:t>
      </w:r>
      <w:r>
        <w:rPr>
          <w:rFonts w:hint="eastAsia" w:ascii="仿宋_GB2312" w:hAnsi="??" w:eastAsia="仿宋_GB2312" w:cs="Tahoma"/>
          <w:color w:val="auto"/>
          <w:kern w:val="0"/>
          <w:sz w:val="30"/>
          <w:szCs w:val="30"/>
          <w:highlight w:val="none"/>
        </w:rPr>
        <w:t>1</w:t>
      </w:r>
      <w:r>
        <w:rPr>
          <w:rFonts w:hint="eastAsia" w:ascii="仿宋_GB2312" w:hAnsi="??" w:eastAsia="仿宋_GB2312" w:cs="Tahoma"/>
          <w:color w:val="auto"/>
          <w:kern w:val="0"/>
          <w:sz w:val="30"/>
          <w:szCs w:val="30"/>
          <w:highlight w:val="none"/>
          <w:lang w:val="en-US" w:eastAsia="zh-CN"/>
        </w:rPr>
        <w:t>9</w:t>
      </w:r>
      <w:r>
        <w:rPr>
          <w:rFonts w:hint="eastAsia" w:ascii="仿宋_GB2312" w:hAnsi="??" w:eastAsia="仿宋_GB2312" w:cs="Tahoma"/>
          <w:color w:val="auto"/>
          <w:kern w:val="0"/>
          <w:sz w:val="30"/>
          <w:szCs w:val="30"/>
          <w:highlight w:val="none"/>
        </w:rPr>
        <w:t>年，本行进一步从内控机制</w:t>
      </w:r>
      <w:r>
        <w:rPr>
          <w:rFonts w:hint="eastAsia" w:ascii="仿宋_GB2312" w:hAnsi="??" w:eastAsia="仿宋_GB2312" w:cs="Tahoma"/>
          <w:color w:val="auto"/>
          <w:kern w:val="0"/>
          <w:sz w:val="30"/>
          <w:szCs w:val="30"/>
          <w:highlight w:val="none"/>
          <w:lang w:eastAsia="zh-CN"/>
        </w:rPr>
        <w:t>建设</w:t>
      </w:r>
      <w:r>
        <w:rPr>
          <w:rFonts w:hint="eastAsia" w:ascii="仿宋_GB2312" w:hAnsi="??" w:eastAsia="仿宋_GB2312" w:cs="Tahoma"/>
          <w:color w:val="auto"/>
          <w:kern w:val="0"/>
          <w:sz w:val="30"/>
          <w:szCs w:val="30"/>
          <w:highlight w:val="none"/>
        </w:rPr>
        <w:t>、</w:t>
      </w:r>
      <w:r>
        <w:rPr>
          <w:rFonts w:hint="eastAsia" w:ascii="仿宋_GB2312" w:hAnsi="??" w:eastAsia="仿宋_GB2312" w:cs="Tahoma"/>
          <w:color w:val="auto"/>
          <w:kern w:val="0"/>
          <w:sz w:val="30"/>
          <w:szCs w:val="30"/>
          <w:highlight w:val="none"/>
          <w:lang w:eastAsia="zh-CN"/>
        </w:rPr>
        <w:t>审计监督检查、员工教育培训</w:t>
      </w:r>
      <w:r>
        <w:rPr>
          <w:rFonts w:hint="eastAsia" w:ascii="仿宋_GB2312" w:hAnsi="??" w:eastAsia="仿宋_GB2312" w:cs="Tahoma"/>
          <w:color w:val="auto"/>
          <w:kern w:val="0"/>
          <w:sz w:val="30"/>
          <w:szCs w:val="30"/>
          <w:highlight w:val="none"/>
        </w:rPr>
        <w:t>等方面强化对操作风险的管理：</w:t>
      </w:r>
      <w:r>
        <w:rPr>
          <w:rFonts w:hint="eastAsia" w:ascii="仿宋_GB2312" w:hAnsi="??" w:eastAsia="仿宋_GB2312" w:cs="Tahoma"/>
          <w:b/>
          <w:color w:val="auto"/>
          <w:kern w:val="0"/>
          <w:sz w:val="30"/>
          <w:szCs w:val="30"/>
          <w:highlight w:val="none"/>
        </w:rPr>
        <w:t>一是</w:t>
      </w:r>
      <w:r>
        <w:rPr>
          <w:rFonts w:hint="eastAsia" w:ascii="仿宋_GB2312" w:hAnsi="??" w:eastAsia="仿宋_GB2312" w:cs="Tahoma"/>
          <w:b w:val="0"/>
          <w:bCs/>
          <w:color w:val="auto"/>
          <w:kern w:val="0"/>
          <w:sz w:val="30"/>
          <w:szCs w:val="30"/>
          <w:highlight w:val="none"/>
        </w:rPr>
        <w:t>持续进行完善</w:t>
      </w:r>
      <w:r>
        <w:rPr>
          <w:rFonts w:hint="eastAsia" w:ascii="仿宋_GB2312" w:hAnsi="??" w:eastAsia="仿宋_GB2312" w:cs="Tahoma"/>
          <w:b w:val="0"/>
          <w:bCs/>
          <w:color w:val="auto"/>
          <w:kern w:val="0"/>
          <w:sz w:val="30"/>
          <w:szCs w:val="30"/>
          <w:highlight w:val="none"/>
          <w:lang w:eastAsia="zh-CN"/>
        </w:rPr>
        <w:t>制度建设</w:t>
      </w:r>
      <w:r>
        <w:rPr>
          <w:rFonts w:hint="eastAsia" w:ascii="仿宋_GB2312" w:hAnsi="??" w:eastAsia="仿宋_GB2312" w:cs="Tahoma"/>
          <w:b w:val="0"/>
          <w:bCs/>
          <w:color w:val="auto"/>
          <w:kern w:val="0"/>
          <w:sz w:val="30"/>
          <w:szCs w:val="30"/>
          <w:highlight w:val="none"/>
        </w:rPr>
        <w:t>，</w:t>
      </w:r>
      <w:r>
        <w:rPr>
          <w:rFonts w:hint="eastAsia" w:ascii="仿宋_GB2312" w:hAnsi="??" w:eastAsia="仿宋_GB2312" w:cs="Tahoma"/>
          <w:b w:val="0"/>
          <w:bCs/>
          <w:color w:val="auto"/>
          <w:kern w:val="0"/>
          <w:sz w:val="30"/>
          <w:szCs w:val="30"/>
          <w:highlight w:val="none"/>
          <w:lang w:eastAsia="zh-CN"/>
        </w:rPr>
        <w:t>开展梳理工作，</w:t>
      </w:r>
      <w:r>
        <w:rPr>
          <w:rFonts w:hint="eastAsia" w:ascii="仿宋_GB2312" w:hAnsi="??" w:eastAsia="仿宋_GB2312" w:cs="Tahoma"/>
          <w:b w:val="0"/>
          <w:bCs/>
          <w:color w:val="auto"/>
          <w:kern w:val="0"/>
          <w:sz w:val="30"/>
          <w:szCs w:val="30"/>
          <w:highlight w:val="none"/>
        </w:rPr>
        <w:t>建立健全完善的、全覆盖、无死角的内部控制制度</w:t>
      </w:r>
      <w:r>
        <w:rPr>
          <w:rFonts w:hint="eastAsia" w:ascii="仿宋_GB2312" w:hAnsi="??" w:eastAsia="仿宋_GB2312" w:cs="Tahoma"/>
          <w:b w:val="0"/>
          <w:bCs/>
          <w:color w:val="auto"/>
          <w:kern w:val="0"/>
          <w:sz w:val="30"/>
          <w:szCs w:val="30"/>
          <w:highlight w:val="none"/>
          <w:lang w:eastAsia="zh-CN"/>
        </w:rPr>
        <w:t>，确保所有操作有所依据。</w:t>
      </w:r>
      <w:r>
        <w:rPr>
          <w:rFonts w:hint="eastAsia" w:ascii="仿宋_GB2312" w:hAnsi="??" w:eastAsia="仿宋_GB2312" w:cs="Tahoma"/>
          <w:b/>
          <w:color w:val="auto"/>
          <w:kern w:val="0"/>
          <w:sz w:val="30"/>
          <w:szCs w:val="30"/>
          <w:highlight w:val="none"/>
          <w:lang w:eastAsia="zh-CN"/>
        </w:rPr>
        <w:t>二</w:t>
      </w:r>
      <w:r>
        <w:rPr>
          <w:rFonts w:hint="eastAsia" w:ascii="仿宋_GB2312" w:hAnsi="??" w:eastAsia="仿宋_GB2312" w:cs="Tahoma"/>
          <w:b/>
          <w:color w:val="auto"/>
          <w:kern w:val="0"/>
          <w:sz w:val="30"/>
          <w:szCs w:val="30"/>
          <w:highlight w:val="none"/>
        </w:rPr>
        <w:t>是</w:t>
      </w:r>
      <w:r>
        <w:rPr>
          <w:rFonts w:hint="eastAsia" w:ascii="仿宋_GB2312" w:hAnsi="??" w:eastAsia="仿宋_GB2312" w:cs="Tahoma"/>
          <w:b w:val="0"/>
          <w:bCs/>
          <w:color w:val="auto"/>
          <w:kern w:val="0"/>
          <w:sz w:val="30"/>
          <w:szCs w:val="30"/>
          <w:highlight w:val="none"/>
          <w:lang w:eastAsia="zh-CN"/>
        </w:rPr>
        <w:t>加强员工行为管理，</w:t>
      </w:r>
      <w:r>
        <w:rPr>
          <w:rFonts w:hint="eastAsia" w:ascii="仿宋_GB2312" w:hAnsi="??" w:eastAsia="仿宋_GB2312" w:cs="Tahoma"/>
          <w:color w:val="auto"/>
          <w:kern w:val="0"/>
          <w:sz w:val="30"/>
          <w:szCs w:val="30"/>
          <w:highlight w:val="none"/>
        </w:rPr>
        <w:t>严格执行员工岗位轮换、强制休假及管理（要害岗位）人员离任（离岗）审计制度，特别加强对重要领域、重要岗位和重要人员八小时外行为的监督</w:t>
      </w:r>
      <w:r>
        <w:rPr>
          <w:rFonts w:hint="eastAsia" w:ascii="仿宋_GB2312" w:hAnsi="??" w:eastAsia="仿宋_GB2312" w:cs="Tahoma"/>
          <w:color w:val="auto"/>
          <w:kern w:val="0"/>
          <w:sz w:val="30"/>
          <w:szCs w:val="30"/>
          <w:highlight w:val="none"/>
          <w:lang w:eastAsia="zh-CN"/>
        </w:rPr>
        <w:t>。三</w:t>
      </w:r>
      <w:r>
        <w:rPr>
          <w:rFonts w:hint="eastAsia" w:ascii="仿宋_GB2312" w:hAnsi="仿宋_GB2312" w:eastAsia="仿宋_GB2312" w:cs="仿宋_GB2312"/>
          <w:b/>
          <w:bCs/>
          <w:color w:val="auto"/>
          <w:sz w:val="30"/>
          <w:szCs w:val="30"/>
          <w:highlight w:val="none"/>
          <w:lang w:val="en-US" w:eastAsia="zh-CN"/>
        </w:rPr>
        <w:t>是</w:t>
      </w:r>
      <w:r>
        <w:rPr>
          <w:rFonts w:hint="eastAsia" w:ascii="仿宋_GB2312" w:hAnsi="仿宋_GB2312" w:eastAsia="仿宋_GB2312" w:cs="仿宋_GB2312"/>
          <w:b w:val="0"/>
          <w:bCs w:val="0"/>
          <w:color w:val="auto"/>
          <w:sz w:val="30"/>
          <w:szCs w:val="30"/>
          <w:highlight w:val="none"/>
          <w:lang w:val="en-US" w:eastAsia="zh-CN"/>
        </w:rPr>
        <w:t>本行始终将落实风险管理、完善防控体系作为重点工作，引导各职能部门</w:t>
      </w:r>
      <w:r>
        <w:rPr>
          <w:rFonts w:hint="eastAsia" w:ascii="仿宋_GB2312" w:hAnsi="仿宋_GB2312" w:eastAsia="仿宋_GB2312" w:cs="仿宋_GB2312"/>
          <w:b w:val="0"/>
          <w:bCs w:val="0"/>
          <w:color w:val="auto"/>
          <w:sz w:val="30"/>
          <w:szCs w:val="30"/>
          <w:highlight w:val="none"/>
        </w:rPr>
        <w:t>发挥业务指导、监督检查作用</w:t>
      </w:r>
      <w:r>
        <w:rPr>
          <w:rFonts w:hint="eastAsia" w:ascii="仿宋_GB2312" w:hAnsi="仿宋_GB2312" w:eastAsia="仿宋_GB2312" w:cs="仿宋_GB2312"/>
          <w:b w:val="0"/>
          <w:bCs w:val="0"/>
          <w:color w:val="auto"/>
          <w:kern w:val="0"/>
          <w:sz w:val="30"/>
          <w:szCs w:val="30"/>
          <w:highlight w:val="none"/>
        </w:rPr>
        <w:t>。</w:t>
      </w:r>
      <w:r>
        <w:rPr>
          <w:rFonts w:hint="eastAsia" w:ascii="仿宋_GB2312" w:hAnsi="仿宋_GB2312" w:eastAsia="仿宋_GB2312" w:cs="仿宋_GB2312"/>
          <w:b w:val="0"/>
          <w:bCs w:val="0"/>
          <w:color w:val="auto"/>
          <w:kern w:val="0"/>
          <w:sz w:val="30"/>
          <w:szCs w:val="30"/>
          <w:highlight w:val="none"/>
          <w:lang w:eastAsia="zh-CN"/>
        </w:rPr>
        <w:t>各条线制定有年度检查监督工作计划，并根据检查出的问题及时纠错。</w:t>
      </w:r>
      <w:r>
        <w:rPr>
          <w:rFonts w:hint="eastAsia" w:ascii="仿宋_GB2312" w:hAnsi="仿宋_GB2312" w:eastAsia="仿宋_GB2312" w:cs="仿宋_GB2312"/>
          <w:b/>
          <w:bCs/>
          <w:color w:val="auto"/>
          <w:kern w:val="0"/>
          <w:sz w:val="30"/>
          <w:szCs w:val="30"/>
          <w:highlight w:val="none"/>
          <w:lang w:eastAsia="zh-CN"/>
        </w:rPr>
        <w:t>四是</w:t>
      </w:r>
      <w:r>
        <w:rPr>
          <w:rFonts w:hint="eastAsia" w:ascii="仿宋_GB2312" w:hAnsi="仿宋_GB2312" w:eastAsia="仿宋_GB2312" w:cs="仿宋_GB2312"/>
          <w:b w:val="0"/>
          <w:bCs w:val="0"/>
          <w:color w:val="auto"/>
          <w:kern w:val="0"/>
          <w:sz w:val="30"/>
          <w:szCs w:val="30"/>
          <w:highlight w:val="none"/>
          <w:lang w:eastAsia="zh-CN"/>
        </w:rPr>
        <w:t>强化员工教育培训，阶段性开展警示教育活动，提升合规文化氛围，有效遏制案件发生。</w:t>
      </w:r>
    </w:p>
    <w:p>
      <w:pPr>
        <w:spacing w:line="540" w:lineRule="exact"/>
        <w:rPr>
          <w:rFonts w:hint="eastAsia" w:ascii="仿宋_GB2312" w:hAnsi="??" w:eastAsia="仿宋_GB2312" w:cs="Tahoma"/>
          <w:color w:val="auto"/>
          <w:kern w:val="0"/>
          <w:sz w:val="30"/>
          <w:szCs w:val="30"/>
          <w:highlight w:val="none"/>
        </w:rPr>
      </w:pPr>
    </w:p>
    <w:p>
      <w:pPr>
        <w:spacing w:line="540" w:lineRule="exact"/>
        <w:jc w:val="center"/>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第五章　股本及股东情况</w:t>
      </w:r>
    </w:p>
    <w:p>
      <w:pPr>
        <w:ind w:firstLine="600" w:firstLineChars="200"/>
        <w:rPr>
          <w:rFonts w:ascii="仿宋_GB2312" w:hAnsi="??" w:eastAsia="仿宋_GB2312" w:cs="Tahoma"/>
          <w:color w:val="auto"/>
          <w:kern w:val="0"/>
          <w:sz w:val="30"/>
          <w:szCs w:val="30"/>
          <w:highlight w:val="none"/>
        </w:rPr>
      </w:pPr>
      <w:r>
        <w:rPr>
          <w:rFonts w:hint="eastAsia" w:ascii="黑体" w:hAnsi="黑体" w:eastAsia="黑体" w:cs="Tahoma"/>
          <w:color w:val="auto"/>
          <w:kern w:val="0"/>
          <w:sz w:val="30"/>
          <w:szCs w:val="30"/>
          <w:highlight w:val="none"/>
        </w:rPr>
        <w:t>一、股本结构　　</w:t>
      </w:r>
      <w:r>
        <w:rPr>
          <w:rFonts w:ascii="黑体" w:hAnsi="黑体" w:eastAsia="黑体" w:cs="Tahoma"/>
          <w:color w:val="auto"/>
          <w:kern w:val="0"/>
          <w:sz w:val="30"/>
          <w:szCs w:val="30"/>
          <w:highlight w:val="none"/>
        </w:rPr>
        <w:t xml:space="preserve">                 </w:t>
      </w:r>
      <w:r>
        <w:rPr>
          <w:rFonts w:hint="eastAsia" w:ascii="仿宋_GB2312" w:hAnsi="??" w:eastAsia="仿宋_GB2312" w:cs="Tahoma"/>
          <w:color w:val="auto"/>
          <w:kern w:val="0"/>
          <w:sz w:val="30"/>
          <w:szCs w:val="30"/>
          <w:highlight w:val="none"/>
        </w:rPr>
        <w:t>单位：人民币万元、</w:t>
      </w:r>
      <w:r>
        <w:rPr>
          <w:rFonts w:ascii="仿宋_GB2312" w:hAnsi="??" w:eastAsia="仿宋_GB2312" w:cs="Tahoma"/>
          <w:color w:val="auto"/>
          <w:kern w:val="0"/>
          <w:sz w:val="30"/>
          <w:szCs w:val="30"/>
          <w:highlight w:val="none"/>
        </w:rPr>
        <w:t>%</w:t>
      </w:r>
    </w:p>
    <w:tbl>
      <w:tblPr>
        <w:tblStyle w:val="2"/>
        <w:tblW w:w="8408"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416"/>
        <w:gridCol w:w="1358"/>
        <w:gridCol w:w="1446"/>
        <w:gridCol w:w="144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2711" w:type="dxa"/>
            <w:gridSpan w:val="2"/>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员工股</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自然人股</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法人股</w:t>
            </w:r>
          </w:p>
        </w:tc>
        <w:tc>
          <w:tcPr>
            <w:tcW w:w="1447"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restart"/>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期初数</w:t>
            </w: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户数</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15</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447" w:type="dxa"/>
            <w:noWrap w:val="0"/>
            <w:vAlign w:val="top"/>
          </w:tcPr>
          <w:p>
            <w:pPr>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continue"/>
            <w:noWrap w:val="0"/>
            <w:vAlign w:val="center"/>
          </w:tcPr>
          <w:p>
            <w:pPr>
              <w:jc w:val="center"/>
              <w:rPr>
                <w:rFonts w:hint="eastAsia" w:ascii="宋体" w:hAnsi="宋体" w:eastAsia="宋体" w:cs="宋体"/>
                <w:color w:val="auto"/>
                <w:kern w:val="0"/>
                <w:sz w:val="21"/>
                <w:szCs w:val="21"/>
                <w:highlight w:val="none"/>
              </w:rPr>
            </w:pP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总股本</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2200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5800</w:t>
            </w:r>
          </w:p>
        </w:tc>
        <w:tc>
          <w:tcPr>
            <w:tcW w:w="1447"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continue"/>
            <w:noWrap w:val="0"/>
            <w:vAlign w:val="center"/>
          </w:tcPr>
          <w:p>
            <w:pPr>
              <w:jc w:val="center"/>
              <w:rPr>
                <w:rFonts w:hint="eastAsia" w:ascii="宋体" w:hAnsi="宋体" w:eastAsia="宋体" w:cs="宋体"/>
                <w:color w:val="auto"/>
                <w:kern w:val="0"/>
                <w:sz w:val="21"/>
                <w:szCs w:val="21"/>
                <w:highlight w:val="none"/>
              </w:rPr>
            </w:pP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占比</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27.5</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72.5</w:t>
            </w:r>
          </w:p>
        </w:tc>
        <w:tc>
          <w:tcPr>
            <w:tcW w:w="1447"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restart"/>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期末数</w:t>
            </w: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户数</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1447" w:type="dxa"/>
            <w:noWrap w:val="0"/>
            <w:vAlign w:val="top"/>
          </w:tcPr>
          <w:p>
            <w:pPr>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continue"/>
            <w:noWrap w:val="0"/>
            <w:vAlign w:val="center"/>
          </w:tcPr>
          <w:p>
            <w:pPr>
              <w:jc w:val="center"/>
              <w:rPr>
                <w:rFonts w:hint="eastAsia" w:ascii="宋体" w:hAnsi="宋体" w:eastAsia="宋体" w:cs="宋体"/>
                <w:color w:val="auto"/>
                <w:kern w:val="0"/>
                <w:sz w:val="21"/>
                <w:szCs w:val="21"/>
                <w:highlight w:val="none"/>
              </w:rPr>
            </w:pP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总股本</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2200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5800</w:t>
            </w:r>
          </w:p>
        </w:tc>
        <w:tc>
          <w:tcPr>
            <w:tcW w:w="1447"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continue"/>
            <w:noWrap w:val="0"/>
            <w:vAlign w:val="center"/>
          </w:tcPr>
          <w:p>
            <w:pPr>
              <w:jc w:val="center"/>
              <w:rPr>
                <w:rFonts w:hint="eastAsia" w:ascii="宋体" w:hAnsi="宋体" w:eastAsia="宋体" w:cs="宋体"/>
                <w:color w:val="auto"/>
                <w:kern w:val="0"/>
                <w:sz w:val="21"/>
                <w:szCs w:val="21"/>
                <w:highlight w:val="none"/>
              </w:rPr>
            </w:pP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占比</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27.5</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72.5</w:t>
            </w:r>
          </w:p>
        </w:tc>
        <w:tc>
          <w:tcPr>
            <w:tcW w:w="1447"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restart"/>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变动情况</w:t>
            </w: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户数</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7" w:type="dxa"/>
            <w:noWrap w:val="0"/>
            <w:vAlign w:val="top"/>
          </w:tcPr>
          <w:p>
            <w:pPr>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continue"/>
            <w:noWrap w:val="0"/>
            <w:vAlign w:val="center"/>
          </w:tcPr>
          <w:p>
            <w:pPr>
              <w:jc w:val="center"/>
              <w:rPr>
                <w:rFonts w:hint="eastAsia" w:ascii="宋体" w:hAnsi="宋体" w:eastAsia="宋体" w:cs="宋体"/>
                <w:color w:val="auto"/>
                <w:kern w:val="0"/>
                <w:sz w:val="21"/>
                <w:szCs w:val="21"/>
                <w:highlight w:val="none"/>
              </w:rPr>
            </w:pP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总股本</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7" w:type="dxa"/>
            <w:noWrap w:val="0"/>
            <w:vAlign w:val="top"/>
          </w:tcPr>
          <w:p>
            <w:pPr>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95" w:type="dxa"/>
            <w:vMerge w:val="continue"/>
            <w:noWrap w:val="0"/>
            <w:vAlign w:val="center"/>
          </w:tcPr>
          <w:p>
            <w:pPr>
              <w:jc w:val="center"/>
              <w:rPr>
                <w:rFonts w:hint="eastAsia" w:ascii="宋体" w:hAnsi="宋体" w:eastAsia="宋体" w:cs="宋体"/>
                <w:color w:val="auto"/>
                <w:kern w:val="0"/>
                <w:sz w:val="21"/>
                <w:szCs w:val="21"/>
                <w:highlight w:val="none"/>
              </w:rPr>
            </w:pPr>
          </w:p>
        </w:tc>
        <w:tc>
          <w:tcPr>
            <w:tcW w:w="1416" w:type="dxa"/>
            <w:noWrap w:val="0"/>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占比</w:t>
            </w:r>
          </w:p>
        </w:tc>
        <w:tc>
          <w:tcPr>
            <w:tcW w:w="1358"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6"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c>
          <w:tcPr>
            <w:tcW w:w="1447" w:type="dxa"/>
            <w:noWrap w:val="0"/>
            <w:vAlign w:val="top"/>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0</w:t>
            </w:r>
          </w:p>
        </w:tc>
      </w:tr>
    </w:tbl>
    <w:p>
      <w:pPr>
        <w:ind w:firstLine="600" w:firstLineChars="200"/>
        <w:rPr>
          <w:rFonts w:ascii="仿宋_GB2312" w:hAnsi="??" w:eastAsia="仿宋_GB2312" w:cs="Tahoma"/>
          <w:color w:val="auto"/>
          <w:kern w:val="0"/>
          <w:sz w:val="30"/>
          <w:szCs w:val="30"/>
          <w:highlight w:val="none"/>
        </w:rPr>
      </w:pPr>
      <w:r>
        <w:rPr>
          <w:rFonts w:hint="eastAsia" w:ascii="黑体" w:hAnsi="黑体" w:eastAsia="黑体" w:cs="Tahoma"/>
          <w:color w:val="auto"/>
          <w:kern w:val="0"/>
          <w:sz w:val="30"/>
          <w:szCs w:val="30"/>
          <w:highlight w:val="none"/>
        </w:rPr>
        <w:t>二、股东及持股情况</w:t>
      </w:r>
      <w:r>
        <w:rPr>
          <w:rFonts w:hint="eastAsia" w:ascii="仿宋_GB2312" w:hAnsi="??" w:eastAsia="仿宋_GB2312" w:cs="Tahoma"/>
          <w:color w:val="auto"/>
          <w:kern w:val="0"/>
          <w:sz w:val="30"/>
          <w:szCs w:val="30"/>
          <w:highlight w:val="none"/>
        </w:rPr>
        <w:t>　　　　　　　单位：人民币万元、</w:t>
      </w:r>
      <w:r>
        <w:rPr>
          <w:rFonts w:ascii="仿宋_GB2312" w:hAnsi="??" w:eastAsia="仿宋_GB2312" w:cs="Tahoma"/>
          <w:color w:val="auto"/>
          <w:kern w:val="0"/>
          <w:sz w:val="30"/>
          <w:szCs w:val="30"/>
          <w:highlight w:val="none"/>
        </w:rPr>
        <w:t>%</w:t>
      </w:r>
    </w:p>
    <w:tbl>
      <w:tblPr>
        <w:tblStyle w:val="2"/>
        <w:tblW w:w="842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1"/>
        <w:gridCol w:w="1290"/>
        <w:gridCol w:w="1288"/>
        <w:gridCol w:w="1160"/>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851" w:type="dxa"/>
            <w:noWrap w:val="0"/>
            <w:vAlign w:val="center"/>
          </w:tcPr>
          <w:p>
            <w:pPr>
              <w:widowControl/>
              <w:spacing w:line="28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股东名称或姓名</w:t>
            </w:r>
          </w:p>
        </w:tc>
        <w:tc>
          <w:tcPr>
            <w:tcW w:w="1290" w:type="dxa"/>
            <w:noWrap w:val="0"/>
            <w:vAlign w:val="center"/>
          </w:tcPr>
          <w:p>
            <w:pPr>
              <w:widowControl/>
              <w:spacing w:line="28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法人代表</w:t>
            </w:r>
          </w:p>
        </w:tc>
        <w:tc>
          <w:tcPr>
            <w:tcW w:w="1288" w:type="dxa"/>
            <w:noWrap w:val="0"/>
            <w:vAlign w:val="center"/>
          </w:tcPr>
          <w:p>
            <w:pPr>
              <w:widowControl/>
              <w:spacing w:line="280" w:lineRule="exact"/>
              <w:jc w:val="center"/>
              <w:rPr>
                <w:rFonts w:hint="eastAsia" w:ascii="宋体" w:hAnsi="宋体" w:eastAsia="宋体" w:cs="宋体"/>
                <w:color w:val="0000FF"/>
                <w:kern w:val="0"/>
                <w:sz w:val="21"/>
                <w:szCs w:val="21"/>
                <w:highlight w:val="yellow"/>
              </w:rPr>
            </w:pPr>
            <w:r>
              <w:rPr>
                <w:rFonts w:hint="eastAsia" w:ascii="宋体" w:hAnsi="宋体" w:eastAsia="宋体" w:cs="宋体"/>
                <w:color w:val="auto"/>
                <w:kern w:val="0"/>
                <w:sz w:val="21"/>
                <w:szCs w:val="21"/>
                <w:highlight w:val="none"/>
              </w:rPr>
              <w:t>期末数</w:t>
            </w:r>
          </w:p>
        </w:tc>
        <w:tc>
          <w:tcPr>
            <w:tcW w:w="1160" w:type="dxa"/>
            <w:noWrap w:val="0"/>
            <w:vAlign w:val="center"/>
          </w:tcPr>
          <w:p>
            <w:pPr>
              <w:widowControl/>
              <w:spacing w:line="280" w:lineRule="exact"/>
              <w:jc w:val="center"/>
              <w:rPr>
                <w:rFonts w:hint="eastAsia" w:ascii="宋体" w:hAnsi="宋体" w:eastAsia="宋体" w:cs="宋体"/>
                <w:color w:val="0000FF"/>
                <w:kern w:val="0"/>
                <w:sz w:val="21"/>
                <w:szCs w:val="21"/>
                <w:highlight w:val="yellow"/>
              </w:rPr>
            </w:pPr>
            <w:r>
              <w:rPr>
                <w:rFonts w:hint="eastAsia" w:ascii="宋体" w:hAnsi="宋体" w:eastAsia="宋体" w:cs="宋体"/>
                <w:color w:val="auto"/>
                <w:kern w:val="0"/>
                <w:sz w:val="21"/>
                <w:szCs w:val="21"/>
                <w:highlight w:val="none"/>
              </w:rPr>
              <w:t>期初数</w:t>
            </w:r>
          </w:p>
        </w:tc>
        <w:tc>
          <w:tcPr>
            <w:tcW w:w="1834" w:type="dxa"/>
            <w:noWrap w:val="0"/>
            <w:vAlign w:val="center"/>
          </w:tcPr>
          <w:p>
            <w:pPr>
              <w:widowControl/>
              <w:spacing w:line="280" w:lineRule="exact"/>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占总股本比例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浙江德清农村商业银行股份有限公司</w:t>
            </w:r>
          </w:p>
        </w:tc>
        <w:tc>
          <w:tcPr>
            <w:tcW w:w="1290" w:type="dxa"/>
            <w:noWrap w:val="0"/>
            <w:vAlign w:val="center"/>
          </w:tcPr>
          <w:p>
            <w:pPr>
              <w:spacing w:line="34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陈春仿</w:t>
            </w: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德清县中能热电有限公司</w:t>
            </w:r>
          </w:p>
        </w:tc>
        <w:tc>
          <w:tcPr>
            <w:tcW w:w="1290"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姚建华</w:t>
            </w: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河南省亚泰牧业发展有限公司</w:t>
            </w:r>
          </w:p>
        </w:tc>
        <w:tc>
          <w:tcPr>
            <w:tcW w:w="1290"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杨建亭</w:t>
            </w: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河南海乐电子科技有限公司</w:t>
            </w:r>
          </w:p>
        </w:tc>
        <w:tc>
          <w:tcPr>
            <w:tcW w:w="1290"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牛玉杰</w:t>
            </w: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宁陵鼎盛农业科技发展有限公司</w:t>
            </w:r>
          </w:p>
        </w:tc>
        <w:tc>
          <w:tcPr>
            <w:tcW w:w="1290"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杨树友</w:t>
            </w: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段继红</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吴  琼</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沈玉琴</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w:t>
            </w:r>
          </w:p>
        </w:tc>
        <w:tc>
          <w:tcPr>
            <w:tcW w:w="1834"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王云峰</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张峪文</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周  可</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宋相坤</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邓天志</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王  娟</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解道峰</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许  明</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郭  盛</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李金囡</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沈玲丽</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3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郭相栋</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30</w:t>
            </w:r>
          </w:p>
        </w:tc>
        <w:tc>
          <w:tcPr>
            <w:tcW w:w="1160"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183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沈建忠</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60</w:t>
            </w:r>
          </w:p>
        </w:tc>
        <w:tc>
          <w:tcPr>
            <w:tcW w:w="116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c>
          <w:tcPr>
            <w:tcW w:w="1834"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嵇连坤</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116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c>
          <w:tcPr>
            <w:tcW w:w="1834"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朱慧</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116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c>
          <w:tcPr>
            <w:tcW w:w="1834"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邵勤</w:t>
            </w:r>
          </w:p>
        </w:tc>
        <w:tc>
          <w:tcPr>
            <w:tcW w:w="1290" w:type="dxa"/>
            <w:noWrap w:val="0"/>
            <w:vAlign w:val="top"/>
          </w:tcPr>
          <w:p>
            <w:pPr>
              <w:rPr>
                <w:rFonts w:hint="eastAsia" w:ascii="宋体" w:hAnsi="宋体" w:eastAsia="宋体" w:cs="宋体"/>
                <w:color w:val="auto"/>
                <w:sz w:val="21"/>
                <w:szCs w:val="21"/>
                <w:highlight w:val="none"/>
              </w:rPr>
            </w:pPr>
          </w:p>
        </w:tc>
        <w:tc>
          <w:tcPr>
            <w:tcW w:w="1288"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160"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w:t>
            </w:r>
          </w:p>
        </w:tc>
        <w:tc>
          <w:tcPr>
            <w:tcW w:w="1834"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2851" w:type="dxa"/>
            <w:noWrap w:val="0"/>
            <w:vAlign w:val="center"/>
          </w:tcPr>
          <w:p>
            <w:pPr>
              <w:spacing w:line="28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合　　计</w:t>
            </w:r>
          </w:p>
        </w:tc>
        <w:tc>
          <w:tcPr>
            <w:tcW w:w="1290" w:type="dxa"/>
            <w:noWrap w:val="0"/>
            <w:vAlign w:val="center"/>
          </w:tcPr>
          <w:p>
            <w:pPr>
              <w:jc w:val="center"/>
              <w:rPr>
                <w:rFonts w:hint="eastAsia" w:ascii="宋体" w:hAnsi="宋体" w:eastAsia="宋体" w:cs="宋体"/>
                <w:b/>
                <w:color w:val="auto"/>
                <w:sz w:val="21"/>
                <w:szCs w:val="21"/>
                <w:highlight w:val="none"/>
              </w:rPr>
            </w:pPr>
          </w:p>
        </w:tc>
        <w:tc>
          <w:tcPr>
            <w:tcW w:w="1288"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8000</w:t>
            </w:r>
          </w:p>
        </w:tc>
        <w:tc>
          <w:tcPr>
            <w:tcW w:w="1160"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8000</w:t>
            </w:r>
          </w:p>
        </w:tc>
        <w:tc>
          <w:tcPr>
            <w:tcW w:w="1834" w:type="dxa"/>
            <w:noWrap w:val="0"/>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100.000</w:t>
            </w:r>
          </w:p>
        </w:tc>
      </w:tr>
    </w:tbl>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本行最大单个法人持股</w:t>
      </w:r>
      <w:r>
        <w:rPr>
          <w:rFonts w:ascii="仿宋_GB2312" w:hAnsi="??" w:eastAsia="仿宋_GB2312" w:cs="Tahoma"/>
          <w:color w:val="auto"/>
          <w:kern w:val="0"/>
          <w:sz w:val="30"/>
          <w:szCs w:val="30"/>
          <w:highlight w:val="none"/>
        </w:rPr>
        <w:t>3600</w:t>
      </w:r>
      <w:r>
        <w:rPr>
          <w:rFonts w:hint="eastAsia" w:ascii="仿宋_GB2312" w:hAnsi="??" w:eastAsia="仿宋_GB2312" w:cs="Tahoma"/>
          <w:color w:val="auto"/>
          <w:kern w:val="0"/>
          <w:sz w:val="30"/>
          <w:szCs w:val="30"/>
          <w:highlight w:val="none"/>
        </w:rPr>
        <w:t>万股，占总股本比例</w:t>
      </w:r>
      <w:r>
        <w:rPr>
          <w:rFonts w:ascii="仿宋_GB2312" w:hAnsi="??" w:eastAsia="仿宋_GB2312" w:cs="Tahoma"/>
          <w:color w:val="auto"/>
          <w:kern w:val="0"/>
          <w:sz w:val="30"/>
          <w:szCs w:val="30"/>
          <w:highlight w:val="none"/>
        </w:rPr>
        <w:t>45%</w:t>
      </w:r>
      <w:r>
        <w:rPr>
          <w:rFonts w:hint="eastAsia" w:ascii="仿宋_GB2312" w:hAnsi="??" w:eastAsia="仿宋_GB2312" w:cs="Tahoma"/>
          <w:color w:val="auto"/>
          <w:kern w:val="0"/>
          <w:sz w:val="30"/>
          <w:szCs w:val="30"/>
          <w:highlight w:val="none"/>
        </w:rPr>
        <w:t>，单个法人、自然人股东持股比例符合《村镇银行管理暂行规定》和本行《章程》。</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三、本行股份的质押、冻结情况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（一）质押情况：</w:t>
      </w:r>
      <w:r>
        <w:rPr>
          <w:rFonts w:hint="eastAsia" w:ascii="仿宋_GB2312" w:hAnsi="仿宋_GB2312" w:eastAsia="仿宋_GB2312" w:cs="仿宋_GB2312"/>
          <w:sz w:val="30"/>
          <w:szCs w:val="30"/>
        </w:rPr>
        <w:t>至报告期末，</w:t>
      </w:r>
      <w:r>
        <w:rPr>
          <w:rFonts w:hint="eastAsia" w:ascii="仿宋_GB2312" w:hAnsi="仿宋_GB2312" w:eastAsia="仿宋_GB2312" w:cs="仿宋_GB2312"/>
          <w:sz w:val="30"/>
          <w:szCs w:val="30"/>
          <w:lang w:eastAsia="zh-CN"/>
        </w:rPr>
        <w:t>本行股份无质押情况。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（二）冻结情况：</w:t>
      </w:r>
      <w:r>
        <w:rPr>
          <w:rFonts w:hint="eastAsia" w:ascii="仿宋_GB2312" w:hAnsi="仿宋_GB2312" w:eastAsia="仿宋_GB2312" w:cs="仿宋_GB2312"/>
          <w:sz w:val="30"/>
          <w:szCs w:val="30"/>
        </w:rPr>
        <w:t>至报告期末，</w:t>
      </w:r>
      <w:r>
        <w:rPr>
          <w:rFonts w:hint="eastAsia" w:ascii="仿宋_GB2312" w:hAnsi="仿宋_GB2312" w:eastAsia="仿宋_GB2312" w:cs="仿宋_GB2312"/>
          <w:sz w:val="30"/>
          <w:szCs w:val="30"/>
          <w:lang w:val="en-US" w:eastAsia="zh-CN"/>
        </w:rPr>
        <w:t>本行共有2个股东股权被查封冻结，分别是：法人股东河南省亚泰牧业发展有限公司和自然人股东郭盛。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color w:val="auto"/>
          <w:kern w:val="0"/>
          <w:sz w:val="30"/>
          <w:szCs w:val="30"/>
          <w:highlight w:val="none"/>
        </w:rPr>
      </w:pPr>
      <w:r>
        <w:rPr>
          <w:rFonts w:hint="eastAsia" w:ascii="黑体" w:hAnsi="黑体" w:eastAsia="黑体" w:cs="黑体"/>
          <w:color w:val="auto"/>
          <w:kern w:val="0"/>
          <w:sz w:val="30"/>
          <w:szCs w:val="30"/>
          <w:highlight w:val="none"/>
        </w:rPr>
        <w:t>四、重大关联交易情况</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ˎ̥" w:eastAsia="仿宋_GB2312" w:cs="Tahoma"/>
          <w:color w:val="auto"/>
          <w:kern w:val="0"/>
          <w:sz w:val="30"/>
          <w:szCs w:val="30"/>
          <w:highlight w:val="none"/>
        </w:rPr>
      </w:pPr>
      <w:r>
        <w:rPr>
          <w:rFonts w:hint="eastAsia" w:ascii="仿宋_GB2312" w:eastAsia="仿宋_GB2312"/>
          <w:b w:val="0"/>
          <w:bCs/>
          <w:color w:val="auto"/>
          <w:sz w:val="30"/>
          <w:szCs w:val="30"/>
          <w:highlight w:val="none"/>
        </w:rPr>
        <w:t>至报告期末</w:t>
      </w:r>
      <w:r>
        <w:rPr>
          <w:rFonts w:hint="eastAsia" w:ascii="仿宋_GB2312" w:hAnsi="ˎ̥" w:eastAsia="仿宋_GB2312" w:cs="Tahoma"/>
          <w:color w:val="auto"/>
          <w:kern w:val="0"/>
          <w:sz w:val="30"/>
          <w:szCs w:val="30"/>
          <w:highlight w:val="none"/>
        </w:rPr>
        <w:t>，</w:t>
      </w:r>
      <w:r>
        <w:rPr>
          <w:rFonts w:ascii="仿宋_GB2312" w:hAnsi="ˎ̥" w:eastAsia="仿宋_GB2312" w:cs="Tahoma"/>
          <w:color w:val="auto"/>
          <w:kern w:val="0"/>
          <w:sz w:val="30"/>
          <w:szCs w:val="30"/>
          <w:highlight w:val="none"/>
        </w:rPr>
        <w:t>本行资本净额</w:t>
      </w:r>
      <w:r>
        <w:rPr>
          <w:rFonts w:hint="eastAsia" w:ascii="仿宋_GB2312" w:hAnsi="ˎ̥" w:eastAsia="仿宋_GB2312" w:cs="Tahoma"/>
          <w:color w:val="auto"/>
          <w:kern w:val="0"/>
          <w:sz w:val="30"/>
          <w:szCs w:val="30"/>
          <w:highlight w:val="none"/>
        </w:rPr>
        <w:t>7547.43</w:t>
      </w:r>
      <w:r>
        <w:rPr>
          <w:rFonts w:ascii="仿宋_GB2312" w:hAnsi="ˎ̥" w:eastAsia="仿宋_GB2312" w:cs="Tahoma"/>
          <w:color w:val="auto"/>
          <w:kern w:val="0"/>
          <w:sz w:val="30"/>
          <w:szCs w:val="30"/>
          <w:highlight w:val="none"/>
        </w:rPr>
        <w:t>万元</w:t>
      </w:r>
      <w:r>
        <w:rPr>
          <w:rFonts w:hint="eastAsia" w:ascii="仿宋_GB2312" w:hAnsi="ˎ̥" w:eastAsia="仿宋_GB2312" w:cs="Tahoma"/>
          <w:color w:val="auto"/>
          <w:kern w:val="0"/>
          <w:sz w:val="30"/>
          <w:szCs w:val="30"/>
          <w:highlight w:val="none"/>
        </w:rPr>
        <w:t>。截至201</w:t>
      </w:r>
      <w:r>
        <w:rPr>
          <w:rFonts w:hint="eastAsia" w:ascii="仿宋_GB2312" w:hAnsi="ˎ̥" w:eastAsia="仿宋_GB2312" w:cs="Tahoma"/>
          <w:color w:val="auto"/>
          <w:kern w:val="0"/>
          <w:sz w:val="30"/>
          <w:szCs w:val="30"/>
          <w:highlight w:val="none"/>
          <w:lang w:val="en-US" w:eastAsia="zh-CN"/>
        </w:rPr>
        <w:t>9</w:t>
      </w:r>
      <w:r>
        <w:rPr>
          <w:rFonts w:hint="eastAsia" w:ascii="仿宋_GB2312" w:hAnsi="ˎ̥" w:eastAsia="仿宋_GB2312" w:cs="Tahoma"/>
          <w:color w:val="auto"/>
          <w:kern w:val="0"/>
          <w:sz w:val="30"/>
          <w:szCs w:val="30"/>
          <w:highlight w:val="none"/>
        </w:rPr>
        <w:t>年末，</w:t>
      </w:r>
      <w:r>
        <w:rPr>
          <w:rFonts w:hint="eastAsia" w:ascii="仿宋_GB2312" w:hAnsi="ˎ̥" w:eastAsia="仿宋_GB2312" w:cs="Tahoma"/>
          <w:color w:val="auto"/>
          <w:kern w:val="0"/>
          <w:sz w:val="30"/>
          <w:szCs w:val="30"/>
          <w:highlight w:val="none"/>
          <w:lang w:eastAsia="zh-CN"/>
        </w:rPr>
        <w:t>本行</w:t>
      </w:r>
      <w:r>
        <w:rPr>
          <w:rFonts w:hint="eastAsia" w:ascii="仿宋_GB2312" w:hAnsi="ˎ̥" w:eastAsia="仿宋_GB2312" w:cs="Tahoma"/>
          <w:color w:val="auto"/>
          <w:kern w:val="0"/>
          <w:sz w:val="30"/>
          <w:szCs w:val="30"/>
          <w:highlight w:val="none"/>
        </w:rPr>
        <w:t>无重大关联方交易。</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ˎ̥" w:eastAsia="仿宋_GB2312" w:cs="Tahoma"/>
          <w:color w:val="auto"/>
          <w:kern w:val="0"/>
          <w:sz w:val="30"/>
          <w:szCs w:val="30"/>
          <w:highlight w:val="none"/>
        </w:rPr>
      </w:pPr>
      <w:r>
        <w:rPr>
          <w:rFonts w:hint="eastAsia" w:ascii="仿宋_GB2312" w:hAnsi="ˎ̥" w:eastAsia="仿宋_GB2312" w:cs="Tahoma"/>
          <w:color w:val="auto"/>
          <w:kern w:val="0"/>
          <w:sz w:val="30"/>
          <w:szCs w:val="30"/>
          <w:highlight w:val="none"/>
        </w:rPr>
        <w:t>注：资本净额包括核心一级资本、二级资本、其他一级资本扣减资本扣除项目。</w:t>
      </w:r>
    </w:p>
    <w:p>
      <w:pPr>
        <w:spacing w:line="560" w:lineRule="exact"/>
        <w:jc w:val="center"/>
        <w:rPr>
          <w:rFonts w:hint="eastAsia" w:ascii="黑体" w:hAnsi="黑体" w:eastAsia="黑体"/>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cs="Tahoma"/>
          <w:color w:val="auto"/>
          <w:kern w:val="0"/>
          <w:sz w:val="30"/>
          <w:szCs w:val="30"/>
          <w:highlight w:val="none"/>
        </w:rPr>
      </w:pPr>
      <w:r>
        <w:rPr>
          <w:rFonts w:hint="eastAsia" w:ascii="黑体" w:hAnsi="黑体" w:eastAsia="黑体" w:cs="Tahoma"/>
          <w:color w:val="auto"/>
          <w:kern w:val="0"/>
          <w:sz w:val="30"/>
          <w:szCs w:val="30"/>
          <w:highlight w:val="none"/>
        </w:rPr>
        <w:t>第</w:t>
      </w:r>
      <w:r>
        <w:rPr>
          <w:rFonts w:hint="eastAsia" w:ascii="黑体" w:hAnsi="黑体" w:eastAsia="黑体" w:cs="Tahoma"/>
          <w:color w:val="auto"/>
          <w:kern w:val="0"/>
          <w:sz w:val="30"/>
          <w:szCs w:val="30"/>
          <w:highlight w:val="none"/>
          <w:lang w:eastAsia="zh-CN"/>
        </w:rPr>
        <w:t>六</w:t>
      </w:r>
      <w:r>
        <w:rPr>
          <w:rFonts w:hint="eastAsia" w:ascii="黑体" w:hAnsi="黑体" w:eastAsia="黑体" w:cs="Tahoma"/>
          <w:color w:val="auto"/>
          <w:kern w:val="0"/>
          <w:sz w:val="30"/>
          <w:szCs w:val="30"/>
          <w:highlight w:val="none"/>
        </w:rPr>
        <w:t>章　公司治理</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报告期内，本行严格按照《公司法》、《村镇银行监管指引》以及本行章程的规定，进一步完善法人治理结构，按照人民银行、银保监部门以及行业管理部门的有关要求开展业务经营，充分发挥各个利益相关者特别是董、监事的作用，确保合规稳健经营和快速发展，有效保障了相关权益人的利益，为社会创造价值。</w:t>
      </w:r>
    </w:p>
    <w:p>
      <w:pPr>
        <w:spacing w:line="560" w:lineRule="exact"/>
        <w:ind w:firstLine="600" w:firstLineChars="200"/>
        <w:rPr>
          <w:rFonts w:hint="eastAsia" w:ascii="黑体" w:hAnsi="黑体" w:eastAsia="黑体" w:cs="黑体"/>
          <w:color w:val="auto"/>
          <w:kern w:val="0"/>
          <w:sz w:val="30"/>
          <w:szCs w:val="30"/>
          <w:highlight w:val="none"/>
        </w:rPr>
      </w:pPr>
      <w:r>
        <w:rPr>
          <w:rFonts w:hint="eastAsia" w:ascii="黑体" w:hAnsi="黑体" w:eastAsia="黑体" w:cs="黑体"/>
          <w:color w:val="auto"/>
          <w:kern w:val="0"/>
          <w:sz w:val="30"/>
          <w:szCs w:val="30"/>
          <w:highlight w:val="none"/>
        </w:rPr>
        <w:t>一、股东大会情况</w:t>
      </w:r>
    </w:p>
    <w:p>
      <w:pPr>
        <w:spacing w:line="560" w:lineRule="exact"/>
        <w:ind w:firstLine="57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报告期间，本行于2019年</w:t>
      </w:r>
      <w:r>
        <w:rPr>
          <w:rFonts w:hint="eastAsia" w:ascii="仿宋_GB2312" w:hAnsi="仿宋_GB2312" w:eastAsia="仿宋_GB2312" w:cs="仿宋_GB2312"/>
          <w:color w:val="auto"/>
          <w:kern w:val="0"/>
          <w:sz w:val="30"/>
          <w:szCs w:val="30"/>
          <w:highlight w:val="none"/>
          <w:lang w:val="en-US" w:eastAsia="zh-CN"/>
        </w:rPr>
        <w:t>4</w:t>
      </w:r>
      <w:r>
        <w:rPr>
          <w:rFonts w:hint="eastAsia" w:ascii="仿宋_GB2312" w:hAnsi="仿宋_GB2312" w:eastAsia="仿宋_GB2312" w:cs="仿宋_GB2312"/>
          <w:color w:val="auto"/>
          <w:kern w:val="0"/>
          <w:sz w:val="30"/>
          <w:szCs w:val="30"/>
          <w:highlight w:val="none"/>
        </w:rPr>
        <w:t>月</w:t>
      </w:r>
      <w:r>
        <w:rPr>
          <w:rFonts w:hint="eastAsia" w:ascii="仿宋_GB2312" w:hAnsi="仿宋_GB2312" w:eastAsia="仿宋_GB2312" w:cs="仿宋_GB2312"/>
          <w:color w:val="auto"/>
          <w:kern w:val="0"/>
          <w:sz w:val="30"/>
          <w:szCs w:val="30"/>
          <w:highlight w:val="none"/>
          <w:lang w:val="en-US" w:eastAsia="zh-CN"/>
        </w:rPr>
        <w:t>22</w:t>
      </w:r>
      <w:r>
        <w:rPr>
          <w:rFonts w:hint="eastAsia" w:ascii="仿宋_GB2312" w:hAnsi="仿宋_GB2312" w:eastAsia="仿宋_GB2312" w:cs="仿宋_GB2312"/>
          <w:color w:val="auto"/>
          <w:kern w:val="0"/>
          <w:sz w:val="30"/>
          <w:szCs w:val="30"/>
          <w:highlight w:val="none"/>
        </w:rPr>
        <w:t>日召开了2018年度股东大会，会议应到股东</w:t>
      </w:r>
      <w:r>
        <w:rPr>
          <w:rFonts w:hint="eastAsia" w:ascii="仿宋_GB2312" w:hAnsi="仿宋_GB2312" w:eastAsia="仿宋_GB2312" w:cs="仿宋_GB2312"/>
          <w:color w:val="auto"/>
          <w:kern w:val="0"/>
          <w:sz w:val="30"/>
          <w:szCs w:val="30"/>
          <w:highlight w:val="none"/>
          <w:lang w:val="en-US" w:eastAsia="zh-CN"/>
        </w:rPr>
        <w:t>22</w:t>
      </w:r>
      <w:r>
        <w:rPr>
          <w:rFonts w:hint="eastAsia" w:ascii="仿宋_GB2312" w:hAnsi="仿宋_GB2312" w:eastAsia="仿宋_GB2312" w:cs="仿宋_GB2312"/>
          <w:color w:val="auto"/>
          <w:kern w:val="0"/>
          <w:sz w:val="30"/>
          <w:szCs w:val="30"/>
          <w:highlight w:val="none"/>
        </w:rPr>
        <w:t>名，全部表决权</w:t>
      </w:r>
      <w:r>
        <w:rPr>
          <w:rFonts w:hint="eastAsia" w:ascii="仿宋_GB2312" w:hAnsi="仿宋_GB2312" w:eastAsia="仿宋_GB2312" w:cs="仿宋_GB2312"/>
          <w:color w:val="auto"/>
          <w:kern w:val="0"/>
          <w:sz w:val="30"/>
          <w:szCs w:val="30"/>
          <w:highlight w:val="none"/>
          <w:lang w:val="en-US" w:eastAsia="zh-CN"/>
        </w:rPr>
        <w:t>7300</w:t>
      </w:r>
      <w:r>
        <w:rPr>
          <w:rFonts w:hint="eastAsia" w:ascii="仿宋_GB2312" w:hAnsi="仿宋_GB2312" w:eastAsia="仿宋_GB2312" w:cs="仿宋_GB2312"/>
          <w:color w:val="auto"/>
          <w:kern w:val="0"/>
          <w:sz w:val="30"/>
          <w:szCs w:val="30"/>
          <w:highlight w:val="none"/>
        </w:rPr>
        <w:t>万票，会议实到股东及股东代理人</w:t>
      </w:r>
      <w:r>
        <w:rPr>
          <w:rFonts w:hint="eastAsia" w:ascii="仿宋_GB2312" w:hAnsi="仿宋_GB2312" w:eastAsia="仿宋_GB2312" w:cs="仿宋_GB2312"/>
          <w:color w:val="auto"/>
          <w:kern w:val="0"/>
          <w:sz w:val="30"/>
          <w:szCs w:val="30"/>
          <w:highlight w:val="none"/>
          <w:lang w:val="en-US" w:eastAsia="zh-CN"/>
        </w:rPr>
        <w:t>12</w:t>
      </w:r>
      <w:r>
        <w:rPr>
          <w:rFonts w:hint="eastAsia" w:ascii="仿宋_GB2312" w:hAnsi="仿宋_GB2312" w:eastAsia="仿宋_GB2312" w:cs="仿宋_GB2312"/>
          <w:color w:val="auto"/>
          <w:kern w:val="0"/>
          <w:sz w:val="30"/>
          <w:szCs w:val="30"/>
          <w:highlight w:val="none"/>
        </w:rPr>
        <w:t>名，所持表决权</w:t>
      </w:r>
      <w:r>
        <w:rPr>
          <w:rFonts w:hint="eastAsia" w:ascii="仿宋_GB2312" w:hAnsi="仿宋_GB2312" w:eastAsia="仿宋_GB2312" w:cs="仿宋_GB2312"/>
          <w:color w:val="auto"/>
          <w:kern w:val="0"/>
          <w:sz w:val="30"/>
          <w:szCs w:val="30"/>
          <w:highlight w:val="none"/>
          <w:lang w:val="en-US" w:eastAsia="zh-CN"/>
        </w:rPr>
        <w:t>6530</w:t>
      </w:r>
      <w:r>
        <w:rPr>
          <w:rFonts w:hint="eastAsia" w:ascii="仿宋_GB2312" w:hAnsi="仿宋_GB2312" w:eastAsia="仿宋_GB2312" w:cs="仿宋_GB2312"/>
          <w:color w:val="auto"/>
          <w:kern w:val="0"/>
          <w:sz w:val="30"/>
          <w:szCs w:val="30"/>
          <w:highlight w:val="none"/>
        </w:rPr>
        <w:t>万票，占全部表决权的</w:t>
      </w:r>
      <w:r>
        <w:rPr>
          <w:rFonts w:hint="eastAsia" w:ascii="仿宋_GB2312" w:hAnsi="仿宋_GB2312" w:eastAsia="仿宋_GB2312" w:cs="仿宋_GB2312"/>
          <w:color w:val="auto"/>
          <w:kern w:val="0"/>
          <w:sz w:val="30"/>
          <w:szCs w:val="30"/>
          <w:highlight w:val="none"/>
          <w:lang w:val="en-US" w:eastAsia="zh-CN"/>
        </w:rPr>
        <w:t>89.45</w:t>
      </w:r>
      <w:r>
        <w:rPr>
          <w:rFonts w:hint="eastAsia" w:ascii="仿宋_GB2312" w:hAnsi="仿宋_GB2312" w:eastAsia="仿宋_GB2312" w:cs="仿宋_GB2312"/>
          <w:color w:val="auto"/>
          <w:kern w:val="0"/>
          <w:sz w:val="30"/>
          <w:szCs w:val="30"/>
          <w:highlight w:val="none"/>
        </w:rPr>
        <w:t>%，符合公司法和公司章程的规定，会议由董事会召集。经投票表决通过了</w:t>
      </w:r>
      <w:r>
        <w:rPr>
          <w:rFonts w:hint="eastAsia" w:ascii="仿宋_GB2312" w:eastAsia="仿宋_GB2312"/>
          <w:color w:val="auto"/>
          <w:sz w:val="30"/>
          <w:szCs w:val="30"/>
          <w:highlight w:val="none"/>
        </w:rPr>
        <w:t>《宁陵德商村镇银行股份有限公司2018年度董事会工作报告（草案）》</w:t>
      </w:r>
      <w:r>
        <w:rPr>
          <w:rFonts w:hint="eastAsia" w:ascii="仿宋_GB2312" w:hAnsi="仿宋_GB2312" w:eastAsia="仿宋_GB2312" w:cs="仿宋_GB2312"/>
          <w:color w:val="auto"/>
          <w:kern w:val="0"/>
          <w:sz w:val="30"/>
          <w:szCs w:val="30"/>
          <w:highlight w:val="none"/>
        </w:rPr>
        <w:t>、</w:t>
      </w:r>
      <w:r>
        <w:rPr>
          <w:rFonts w:hint="eastAsia" w:ascii="仿宋_GB2312" w:eastAsia="仿宋_GB2312"/>
          <w:color w:val="auto"/>
          <w:sz w:val="30"/>
          <w:szCs w:val="30"/>
          <w:highlight w:val="none"/>
        </w:rPr>
        <w:t>《宁陵德商村镇银行股份有限公司2018年度监事会工作报告（草案）》</w:t>
      </w:r>
      <w:r>
        <w:rPr>
          <w:rFonts w:hint="eastAsia" w:ascii="仿宋_GB2312" w:hAnsi="仿宋_GB2312" w:eastAsia="仿宋_GB2312" w:cs="仿宋_GB2312"/>
          <w:color w:val="auto"/>
          <w:kern w:val="0"/>
          <w:sz w:val="30"/>
          <w:szCs w:val="30"/>
          <w:highlight w:val="none"/>
        </w:rPr>
        <w:t>、《</w:t>
      </w:r>
      <w:r>
        <w:rPr>
          <w:rFonts w:hint="eastAsia" w:ascii="仿宋_GB2312" w:eastAsia="仿宋_GB2312"/>
          <w:color w:val="auto"/>
          <w:sz w:val="30"/>
          <w:szCs w:val="30"/>
          <w:highlight w:val="none"/>
        </w:rPr>
        <w:t>《宁陵德商村镇银行股份有限公司2018年度财务决算报告（草案）》</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《宁陵德商村镇银行股份有限公司2018年年度报告（草案）》</w:t>
      </w:r>
      <w:r>
        <w:rPr>
          <w:rFonts w:hint="eastAsia" w:ascii="仿宋_GB2312" w:hAnsi="仿宋_GB2312" w:eastAsia="仿宋_GB2312" w:cs="仿宋_GB2312"/>
          <w:color w:val="auto"/>
          <w:kern w:val="0"/>
          <w:sz w:val="30"/>
          <w:szCs w:val="30"/>
          <w:highlight w:val="none"/>
        </w:rPr>
        <w:t>等几项议案。会议由</w:t>
      </w:r>
      <w:r>
        <w:rPr>
          <w:rFonts w:hint="eastAsia" w:ascii="仿宋_GB2312" w:hAnsi="仿宋_GB2312" w:eastAsia="仿宋_GB2312" w:cs="仿宋_GB2312"/>
          <w:color w:val="auto"/>
          <w:kern w:val="0"/>
          <w:sz w:val="30"/>
          <w:szCs w:val="30"/>
          <w:highlight w:val="none"/>
          <w:lang w:eastAsia="zh-CN"/>
        </w:rPr>
        <w:t>河南信陵律师事务所徐文勇</w:t>
      </w: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color w:val="auto"/>
          <w:kern w:val="0"/>
          <w:sz w:val="30"/>
          <w:szCs w:val="30"/>
          <w:highlight w:val="none"/>
          <w:lang w:eastAsia="zh-CN"/>
        </w:rPr>
        <w:t>郭新霞</w:t>
      </w:r>
      <w:r>
        <w:rPr>
          <w:rFonts w:hint="eastAsia" w:ascii="仿宋_GB2312" w:hAnsi="仿宋_GB2312" w:eastAsia="仿宋_GB2312" w:cs="仿宋_GB2312"/>
          <w:color w:val="auto"/>
          <w:kern w:val="0"/>
          <w:sz w:val="30"/>
          <w:szCs w:val="30"/>
          <w:highlight w:val="none"/>
        </w:rPr>
        <w:t>二位律师给予法律见证。</w:t>
      </w:r>
    </w:p>
    <w:p>
      <w:pPr>
        <w:spacing w:line="560" w:lineRule="exact"/>
        <w:ind w:firstLine="57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本行于2019年</w:t>
      </w:r>
      <w:r>
        <w:rPr>
          <w:rFonts w:hint="eastAsia" w:ascii="仿宋_GB2312" w:hAnsi="仿宋_GB2312" w:eastAsia="仿宋_GB2312" w:cs="仿宋_GB2312"/>
          <w:color w:val="auto"/>
          <w:kern w:val="0"/>
          <w:sz w:val="30"/>
          <w:szCs w:val="30"/>
          <w:highlight w:val="none"/>
          <w:lang w:val="en-US" w:eastAsia="zh-CN"/>
        </w:rPr>
        <w:t>11</w:t>
      </w:r>
      <w:r>
        <w:rPr>
          <w:rFonts w:hint="eastAsia" w:ascii="仿宋_GB2312" w:hAnsi="仿宋_GB2312" w:eastAsia="仿宋_GB2312" w:cs="仿宋_GB2312"/>
          <w:color w:val="auto"/>
          <w:kern w:val="0"/>
          <w:sz w:val="30"/>
          <w:szCs w:val="30"/>
          <w:highlight w:val="none"/>
        </w:rPr>
        <w:t>月</w:t>
      </w:r>
      <w:r>
        <w:rPr>
          <w:rFonts w:hint="eastAsia" w:ascii="仿宋_GB2312" w:hAnsi="仿宋_GB2312" w:eastAsia="仿宋_GB2312" w:cs="仿宋_GB2312"/>
          <w:color w:val="auto"/>
          <w:kern w:val="0"/>
          <w:sz w:val="30"/>
          <w:szCs w:val="30"/>
          <w:highlight w:val="none"/>
          <w:lang w:val="en-US" w:eastAsia="zh-CN"/>
        </w:rPr>
        <w:t>20</w:t>
      </w:r>
      <w:r>
        <w:rPr>
          <w:rFonts w:hint="eastAsia" w:ascii="仿宋_GB2312" w:hAnsi="仿宋_GB2312" w:eastAsia="仿宋_GB2312" w:cs="仿宋_GB2312"/>
          <w:color w:val="auto"/>
          <w:kern w:val="0"/>
          <w:sz w:val="30"/>
          <w:szCs w:val="30"/>
          <w:highlight w:val="none"/>
        </w:rPr>
        <w:t>日召开了2019年股东大会第一次临时会议，会议应到股东</w:t>
      </w:r>
      <w:r>
        <w:rPr>
          <w:rFonts w:hint="eastAsia" w:ascii="仿宋_GB2312" w:hAnsi="仿宋_GB2312" w:eastAsia="仿宋_GB2312" w:cs="仿宋_GB2312"/>
          <w:color w:val="auto"/>
          <w:kern w:val="0"/>
          <w:sz w:val="30"/>
          <w:szCs w:val="30"/>
          <w:highlight w:val="none"/>
          <w:lang w:val="en-US" w:eastAsia="zh-CN"/>
        </w:rPr>
        <w:t>22</w:t>
      </w:r>
      <w:r>
        <w:rPr>
          <w:rFonts w:hint="eastAsia" w:ascii="仿宋_GB2312" w:hAnsi="仿宋_GB2312" w:eastAsia="仿宋_GB2312" w:cs="仿宋_GB2312"/>
          <w:color w:val="auto"/>
          <w:kern w:val="0"/>
          <w:sz w:val="30"/>
          <w:szCs w:val="30"/>
          <w:highlight w:val="none"/>
        </w:rPr>
        <w:t>名，全部表决权</w:t>
      </w:r>
      <w:r>
        <w:rPr>
          <w:rFonts w:hint="eastAsia" w:ascii="仿宋_GB2312" w:hAnsi="仿宋_GB2312" w:eastAsia="仿宋_GB2312" w:cs="仿宋_GB2312"/>
          <w:color w:val="auto"/>
          <w:kern w:val="0"/>
          <w:sz w:val="30"/>
          <w:szCs w:val="30"/>
          <w:highlight w:val="none"/>
          <w:lang w:val="en-US" w:eastAsia="zh-CN"/>
        </w:rPr>
        <w:t>7300</w:t>
      </w:r>
      <w:r>
        <w:rPr>
          <w:rFonts w:hint="eastAsia" w:ascii="仿宋_GB2312" w:hAnsi="仿宋_GB2312" w:eastAsia="仿宋_GB2312" w:cs="仿宋_GB2312"/>
          <w:color w:val="auto"/>
          <w:kern w:val="0"/>
          <w:sz w:val="30"/>
          <w:szCs w:val="30"/>
          <w:highlight w:val="none"/>
        </w:rPr>
        <w:t>万票，会议实到股东及股东代理人</w:t>
      </w:r>
      <w:r>
        <w:rPr>
          <w:rFonts w:hint="eastAsia" w:ascii="仿宋_GB2312" w:hAnsi="仿宋_GB2312" w:eastAsia="仿宋_GB2312" w:cs="仿宋_GB2312"/>
          <w:color w:val="auto"/>
          <w:kern w:val="0"/>
          <w:sz w:val="30"/>
          <w:szCs w:val="30"/>
          <w:highlight w:val="none"/>
          <w:lang w:val="en-US" w:eastAsia="zh-CN"/>
        </w:rPr>
        <w:t>11</w:t>
      </w:r>
      <w:r>
        <w:rPr>
          <w:rFonts w:hint="eastAsia" w:ascii="仿宋_GB2312" w:hAnsi="仿宋_GB2312" w:eastAsia="仿宋_GB2312" w:cs="仿宋_GB2312"/>
          <w:color w:val="auto"/>
          <w:kern w:val="0"/>
          <w:sz w:val="30"/>
          <w:szCs w:val="30"/>
          <w:highlight w:val="none"/>
        </w:rPr>
        <w:t>名，所持表决权</w:t>
      </w:r>
      <w:r>
        <w:rPr>
          <w:rFonts w:hint="eastAsia" w:ascii="仿宋_GB2312" w:hAnsi="仿宋_GB2312" w:eastAsia="仿宋_GB2312" w:cs="仿宋_GB2312"/>
          <w:color w:val="auto"/>
          <w:kern w:val="0"/>
          <w:sz w:val="30"/>
          <w:szCs w:val="30"/>
          <w:highlight w:val="none"/>
          <w:lang w:val="en-US" w:eastAsia="zh-CN"/>
        </w:rPr>
        <w:t>6390</w:t>
      </w:r>
      <w:r>
        <w:rPr>
          <w:rFonts w:hint="eastAsia" w:ascii="仿宋_GB2312" w:hAnsi="仿宋_GB2312" w:eastAsia="仿宋_GB2312" w:cs="仿宋_GB2312"/>
          <w:color w:val="auto"/>
          <w:kern w:val="0"/>
          <w:sz w:val="30"/>
          <w:szCs w:val="30"/>
          <w:highlight w:val="none"/>
        </w:rPr>
        <w:t>万票，占全部表决权的</w:t>
      </w:r>
      <w:r>
        <w:rPr>
          <w:rFonts w:hint="eastAsia" w:ascii="仿宋_GB2312" w:hAnsi="仿宋_GB2312" w:eastAsia="仿宋_GB2312" w:cs="仿宋_GB2312"/>
          <w:color w:val="auto"/>
          <w:kern w:val="0"/>
          <w:sz w:val="30"/>
          <w:szCs w:val="30"/>
          <w:highlight w:val="none"/>
          <w:lang w:val="en-US" w:eastAsia="zh-CN"/>
        </w:rPr>
        <w:t>87.53</w:t>
      </w:r>
      <w:r>
        <w:rPr>
          <w:rFonts w:hint="eastAsia" w:ascii="仿宋_GB2312" w:hAnsi="仿宋_GB2312" w:eastAsia="仿宋_GB2312" w:cs="仿宋_GB2312"/>
          <w:color w:val="auto"/>
          <w:kern w:val="0"/>
          <w:sz w:val="30"/>
          <w:szCs w:val="30"/>
          <w:highlight w:val="none"/>
        </w:rPr>
        <w:t>%，符合公司法和公司章程的规定，会议由董事会召集。经投票表决通过了《宁陵德商村镇银行股份有限公司第二届董事会增补董事候选人名单》</w:t>
      </w:r>
      <w:r>
        <w:rPr>
          <w:rFonts w:hint="eastAsia" w:ascii="仿宋_GB2312" w:hAnsi="仿宋_GB2312" w:eastAsia="仿宋_GB2312" w:cs="仿宋_GB2312"/>
          <w:color w:val="auto"/>
          <w:kern w:val="0"/>
          <w:sz w:val="30"/>
          <w:szCs w:val="30"/>
          <w:highlight w:val="none"/>
          <w:lang w:eastAsia="zh-CN"/>
        </w:rPr>
        <w:t>共</w:t>
      </w:r>
      <w:r>
        <w:rPr>
          <w:rFonts w:hint="eastAsia" w:ascii="仿宋_GB2312" w:hAnsi="仿宋_GB2312" w:eastAsia="仿宋_GB2312" w:cs="仿宋_GB2312"/>
          <w:color w:val="auto"/>
          <w:kern w:val="0"/>
          <w:sz w:val="30"/>
          <w:szCs w:val="30"/>
          <w:highlight w:val="none"/>
          <w:lang w:val="en-US" w:eastAsia="zh-CN"/>
        </w:rPr>
        <w:t>1</w:t>
      </w:r>
      <w:r>
        <w:rPr>
          <w:rFonts w:hint="eastAsia" w:ascii="仿宋_GB2312" w:hAnsi="仿宋_GB2312" w:eastAsia="仿宋_GB2312" w:cs="仿宋_GB2312"/>
          <w:color w:val="auto"/>
          <w:kern w:val="0"/>
          <w:sz w:val="30"/>
          <w:szCs w:val="30"/>
          <w:highlight w:val="none"/>
        </w:rPr>
        <w:t>项议案，选举产生了第</w:t>
      </w:r>
      <w:r>
        <w:rPr>
          <w:rFonts w:hint="eastAsia" w:ascii="仿宋_GB2312" w:hAnsi="仿宋_GB2312" w:eastAsia="仿宋_GB2312" w:cs="仿宋_GB2312"/>
          <w:color w:val="auto"/>
          <w:kern w:val="0"/>
          <w:sz w:val="30"/>
          <w:szCs w:val="30"/>
          <w:highlight w:val="none"/>
          <w:lang w:eastAsia="zh-CN"/>
        </w:rPr>
        <w:t>二</w:t>
      </w:r>
      <w:r>
        <w:rPr>
          <w:rFonts w:hint="eastAsia" w:ascii="仿宋_GB2312" w:hAnsi="仿宋_GB2312" w:eastAsia="仿宋_GB2312" w:cs="仿宋_GB2312"/>
          <w:color w:val="auto"/>
          <w:kern w:val="0"/>
          <w:sz w:val="30"/>
          <w:szCs w:val="30"/>
          <w:highlight w:val="none"/>
        </w:rPr>
        <w:t>届董事会</w:t>
      </w:r>
      <w:r>
        <w:rPr>
          <w:rFonts w:hint="eastAsia" w:ascii="仿宋_GB2312" w:hAnsi="仿宋_GB2312" w:eastAsia="仿宋_GB2312" w:cs="仿宋_GB2312"/>
          <w:color w:val="auto"/>
          <w:kern w:val="0"/>
          <w:sz w:val="30"/>
          <w:szCs w:val="30"/>
          <w:highlight w:val="none"/>
          <w:lang w:eastAsia="zh-CN"/>
        </w:rPr>
        <w:t>增补</w:t>
      </w:r>
      <w:r>
        <w:rPr>
          <w:rFonts w:hint="eastAsia" w:ascii="仿宋_GB2312" w:hAnsi="仿宋_GB2312" w:eastAsia="仿宋_GB2312" w:cs="仿宋_GB2312"/>
          <w:color w:val="auto"/>
          <w:kern w:val="0"/>
          <w:sz w:val="30"/>
          <w:szCs w:val="30"/>
          <w:highlight w:val="none"/>
        </w:rPr>
        <w:t>董事。会议由</w:t>
      </w:r>
      <w:r>
        <w:rPr>
          <w:rFonts w:hint="eastAsia" w:ascii="仿宋_GB2312" w:hAnsi="仿宋_GB2312" w:eastAsia="仿宋_GB2312" w:cs="仿宋_GB2312"/>
          <w:color w:val="auto"/>
          <w:kern w:val="0"/>
          <w:sz w:val="30"/>
          <w:szCs w:val="30"/>
          <w:highlight w:val="none"/>
          <w:lang w:eastAsia="zh-CN"/>
        </w:rPr>
        <w:t>河南信陵律师事务所徐文勇</w:t>
      </w: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color w:val="auto"/>
          <w:kern w:val="0"/>
          <w:sz w:val="30"/>
          <w:szCs w:val="30"/>
          <w:highlight w:val="none"/>
          <w:lang w:eastAsia="zh-CN"/>
        </w:rPr>
        <w:t>郭新霞</w:t>
      </w:r>
      <w:r>
        <w:rPr>
          <w:rFonts w:hint="eastAsia" w:ascii="仿宋_GB2312" w:hAnsi="仿宋_GB2312" w:eastAsia="仿宋_GB2312" w:cs="仿宋_GB2312"/>
          <w:color w:val="auto"/>
          <w:kern w:val="0"/>
          <w:sz w:val="30"/>
          <w:szCs w:val="30"/>
          <w:highlight w:val="none"/>
        </w:rPr>
        <w:t>二位律师给予法律见证。</w:t>
      </w:r>
    </w:p>
    <w:p>
      <w:pPr>
        <w:spacing w:line="560" w:lineRule="exact"/>
        <w:ind w:firstLine="570"/>
        <w:rPr>
          <w:rFonts w:hint="eastAsia" w:ascii="黑体" w:hAnsi="黑体" w:eastAsia="黑体" w:cs="黑体"/>
          <w:color w:val="auto"/>
          <w:kern w:val="0"/>
          <w:sz w:val="30"/>
          <w:szCs w:val="30"/>
          <w:highlight w:val="none"/>
        </w:rPr>
      </w:pPr>
      <w:r>
        <w:rPr>
          <w:rFonts w:hint="eastAsia" w:ascii="黑体" w:hAnsi="黑体" w:eastAsia="黑体" w:cs="黑体"/>
          <w:color w:val="auto"/>
          <w:kern w:val="0"/>
          <w:sz w:val="30"/>
          <w:szCs w:val="30"/>
          <w:highlight w:val="none"/>
        </w:rPr>
        <w:t xml:space="preserve">二、董事会的构成及其工作情况 </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hint="eastAsia" w:ascii="楷体" w:hAnsi="楷体" w:eastAsia="楷体" w:cs="楷体"/>
          <w:b/>
          <w:bCs/>
          <w:color w:val="auto"/>
          <w:kern w:val="0"/>
          <w:sz w:val="30"/>
          <w:szCs w:val="30"/>
          <w:highlight w:val="none"/>
        </w:rPr>
      </w:pPr>
      <w:r>
        <w:rPr>
          <w:rFonts w:hint="eastAsia" w:ascii="楷体" w:hAnsi="楷体" w:eastAsia="楷体" w:cs="楷体"/>
          <w:b/>
          <w:bCs/>
          <w:color w:val="auto"/>
          <w:kern w:val="0"/>
          <w:sz w:val="30"/>
          <w:szCs w:val="30"/>
          <w:highlight w:val="none"/>
        </w:rPr>
        <w:t>（一）董事会成员基本情况</w:t>
      </w:r>
    </w:p>
    <w:tbl>
      <w:tblPr>
        <w:tblStyle w:val="2"/>
        <w:tblW w:w="85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08"/>
        <w:gridCol w:w="708"/>
        <w:gridCol w:w="567"/>
        <w:gridCol w:w="851"/>
        <w:gridCol w:w="850"/>
        <w:gridCol w:w="3402"/>
        <w:gridCol w:w="1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 w:hRule="atLeast"/>
          <w:tblCellSpacing w:w="0" w:type="dxa"/>
        </w:trPr>
        <w:tc>
          <w:tcPr>
            <w:tcW w:w="1008"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职务</w:t>
            </w:r>
          </w:p>
        </w:tc>
        <w:tc>
          <w:tcPr>
            <w:tcW w:w="708"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姓名</w:t>
            </w: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性别</w:t>
            </w:r>
          </w:p>
        </w:tc>
        <w:tc>
          <w:tcPr>
            <w:tcW w:w="851"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出生年月</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学历</w:t>
            </w:r>
          </w:p>
        </w:tc>
        <w:tc>
          <w:tcPr>
            <w:tcW w:w="3402"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任职单位及职务</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持有股份(股)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2" w:hRule="atLeast"/>
          <w:tblCellSpacing w:w="0" w:type="dxa"/>
        </w:trPr>
        <w:tc>
          <w:tcPr>
            <w:tcW w:w="1008"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董事长</w:t>
            </w:r>
          </w:p>
        </w:tc>
        <w:tc>
          <w:tcPr>
            <w:tcW w:w="708"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沈少平</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男</w:t>
            </w:r>
          </w:p>
        </w:tc>
        <w:tc>
          <w:tcPr>
            <w:tcW w:w="85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1965.11</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本科</w:t>
            </w:r>
          </w:p>
        </w:tc>
        <w:tc>
          <w:tcPr>
            <w:tcW w:w="3402"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宁陵德商村镇银行董事长</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32" w:hRule="atLeast"/>
          <w:tblCellSpacing w:w="0" w:type="dxa"/>
        </w:trPr>
        <w:tc>
          <w:tcPr>
            <w:tcW w:w="1008"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董事</w:t>
            </w:r>
          </w:p>
        </w:tc>
        <w:tc>
          <w:tcPr>
            <w:tcW w:w="708"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乔翠莲</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女</w:t>
            </w:r>
          </w:p>
        </w:tc>
        <w:tc>
          <w:tcPr>
            <w:tcW w:w="85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1971.08</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本科</w:t>
            </w:r>
          </w:p>
        </w:tc>
        <w:tc>
          <w:tcPr>
            <w:tcW w:w="3402"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宁陵德商村镇银行行长</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77" w:hRule="atLeast"/>
          <w:tblCellSpacing w:w="0" w:type="dxa"/>
        </w:trPr>
        <w:tc>
          <w:tcPr>
            <w:tcW w:w="1008"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董事</w:t>
            </w:r>
          </w:p>
        </w:tc>
        <w:tc>
          <w:tcPr>
            <w:tcW w:w="708"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cs="宋体"/>
                <w:color w:val="auto"/>
                <w:sz w:val="21"/>
                <w:szCs w:val="21"/>
                <w:highlight w:val="none"/>
                <w:lang w:eastAsia="zh-CN"/>
              </w:rPr>
              <w:t>李祥</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cs="宋体"/>
                <w:color w:val="auto"/>
                <w:sz w:val="21"/>
                <w:szCs w:val="21"/>
                <w:highlight w:val="none"/>
                <w:lang w:eastAsia="zh-CN"/>
              </w:rPr>
              <w:t>男</w:t>
            </w:r>
          </w:p>
        </w:tc>
        <w:tc>
          <w:tcPr>
            <w:tcW w:w="85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cs="宋体"/>
                <w:color w:val="auto"/>
                <w:kern w:val="0"/>
                <w:sz w:val="21"/>
                <w:szCs w:val="21"/>
                <w:highlight w:val="none"/>
                <w:lang w:val="en-US" w:eastAsia="zh-CN"/>
              </w:rPr>
              <w:t>1968.08</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本科</w:t>
            </w:r>
          </w:p>
        </w:tc>
        <w:tc>
          <w:tcPr>
            <w:tcW w:w="3402"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宁陵德商村镇银行</w:t>
            </w:r>
            <w:r>
              <w:rPr>
                <w:rFonts w:hint="eastAsia" w:ascii="宋体" w:hAnsi="宋体" w:cs="宋体"/>
                <w:color w:val="auto"/>
                <w:kern w:val="0"/>
                <w:sz w:val="21"/>
                <w:szCs w:val="21"/>
                <w:highlight w:val="none"/>
                <w:lang w:eastAsia="zh-CN"/>
              </w:rPr>
              <w:t>拟任</w:t>
            </w:r>
            <w:r>
              <w:rPr>
                <w:rFonts w:hint="eastAsia" w:ascii="宋体" w:hAnsi="宋体" w:eastAsia="宋体" w:cs="宋体"/>
                <w:color w:val="auto"/>
                <w:kern w:val="0"/>
                <w:sz w:val="21"/>
                <w:szCs w:val="21"/>
                <w:highlight w:val="none"/>
              </w:rPr>
              <w:t>副行长</w:t>
            </w:r>
          </w:p>
        </w:tc>
        <w:tc>
          <w:tcPr>
            <w:tcW w:w="1134"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008"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董事</w:t>
            </w:r>
          </w:p>
        </w:tc>
        <w:tc>
          <w:tcPr>
            <w:tcW w:w="708"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杨树友</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男</w:t>
            </w:r>
          </w:p>
        </w:tc>
        <w:tc>
          <w:tcPr>
            <w:tcW w:w="85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1976.11</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本科</w:t>
            </w:r>
          </w:p>
        </w:tc>
        <w:tc>
          <w:tcPr>
            <w:tcW w:w="3402"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宁陵鼎盛农业科技发展有限公司副总经理</w:t>
            </w:r>
          </w:p>
        </w:tc>
        <w:tc>
          <w:tcPr>
            <w:tcW w:w="1134" w:type="dxa"/>
            <w:tcBorders>
              <w:top w:val="outset" w:color="auto" w:sz="6" w:space="0"/>
              <w:left w:val="outset" w:color="auto" w:sz="6" w:space="0"/>
              <w:bottom w:val="outset" w:color="auto" w:sz="6" w:space="0"/>
              <w:right w:val="outset" w:color="auto" w:sz="6" w:space="0"/>
            </w:tcBorders>
            <w:noWrap w:val="0"/>
            <w:vAlign w:val="top"/>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1008"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董事</w:t>
            </w:r>
          </w:p>
        </w:tc>
        <w:tc>
          <w:tcPr>
            <w:tcW w:w="708"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吴  琼</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sz w:val="21"/>
                <w:szCs w:val="21"/>
                <w:highlight w:val="none"/>
              </w:rPr>
              <w:t>女</w:t>
            </w:r>
          </w:p>
        </w:tc>
        <w:tc>
          <w:tcPr>
            <w:tcW w:w="85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1977.08</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高中</w:t>
            </w:r>
          </w:p>
        </w:tc>
        <w:tc>
          <w:tcPr>
            <w:tcW w:w="3402"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auto"/>
                <w:kern w:val="0"/>
                <w:sz w:val="18"/>
                <w:szCs w:val="18"/>
                <w:highlight w:val="none"/>
              </w:rPr>
            </w:pPr>
            <w:r>
              <w:rPr>
                <w:rFonts w:hint="eastAsia" w:ascii="宋体" w:hAnsi="宋体" w:eastAsia="宋体" w:cs="宋体"/>
                <w:color w:val="auto"/>
                <w:kern w:val="0"/>
                <w:sz w:val="21"/>
                <w:szCs w:val="21"/>
                <w:highlight w:val="none"/>
              </w:rPr>
              <w:t>河南晏伦商贸有限公司总经理</w:t>
            </w:r>
          </w:p>
        </w:tc>
        <w:tc>
          <w:tcPr>
            <w:tcW w:w="1134" w:type="dxa"/>
            <w:tcBorders>
              <w:top w:val="outset" w:color="auto" w:sz="6" w:space="0"/>
              <w:left w:val="outset" w:color="auto" w:sz="6" w:space="0"/>
              <w:bottom w:val="outset" w:color="auto" w:sz="6" w:space="0"/>
              <w:right w:val="outset" w:color="auto" w:sz="6" w:space="0"/>
            </w:tcBorders>
            <w:noWrap w:val="0"/>
            <w:vAlign w:val="top"/>
          </w:tcPr>
          <w:p>
            <w:pPr>
              <w:spacing w:line="40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400万</w:t>
            </w:r>
          </w:p>
        </w:tc>
      </w:tr>
    </w:tbl>
    <w:p>
      <w:pPr>
        <w:spacing w:line="560" w:lineRule="exact"/>
        <w:ind w:firstLine="570"/>
        <w:rPr>
          <w:rFonts w:hint="eastAsia" w:ascii="楷体" w:hAnsi="楷体" w:eastAsia="楷体" w:cs="楷体"/>
          <w:b/>
          <w:bCs/>
          <w:color w:val="auto"/>
          <w:kern w:val="0"/>
          <w:sz w:val="30"/>
          <w:szCs w:val="30"/>
          <w:highlight w:val="none"/>
        </w:rPr>
      </w:pPr>
      <w:r>
        <w:rPr>
          <w:rFonts w:hint="eastAsia" w:ascii="楷体" w:hAnsi="楷体" w:eastAsia="楷体" w:cs="楷体"/>
          <w:b/>
          <w:bCs/>
          <w:color w:val="auto"/>
          <w:kern w:val="0"/>
          <w:sz w:val="30"/>
          <w:szCs w:val="30"/>
          <w:highlight w:val="none"/>
        </w:rPr>
        <w:t>（二）董事会工作情况</w:t>
      </w:r>
    </w:p>
    <w:p>
      <w:pPr>
        <w:widowControl w:val="0"/>
        <w:autoSpaceDE w:val="0"/>
        <w:autoSpaceDN w:val="0"/>
        <w:adjustRightInd/>
        <w:spacing w:line="560" w:lineRule="exact"/>
        <w:ind w:firstLine="602" w:firstLineChars="200"/>
        <w:rPr>
          <w:rFonts w:hint="eastAsia" w:ascii="仿宋_GB2312" w:hAnsi="仿宋_GB2312" w:eastAsia="仿宋_GB2312" w:cs="仿宋_GB2312"/>
          <w:b/>
          <w:bCs/>
          <w:color w:val="auto"/>
          <w:sz w:val="30"/>
          <w:szCs w:val="30"/>
          <w:highlight w:val="none"/>
          <w:lang w:val="en-US" w:eastAsia="zh-CN" w:bidi="ar-SA"/>
        </w:rPr>
      </w:pPr>
      <w:r>
        <w:rPr>
          <w:rFonts w:hint="eastAsia" w:ascii="仿宋_GB2312" w:hAnsi="仿宋_GB2312" w:eastAsia="仿宋_GB2312" w:cs="仿宋_GB2312"/>
          <w:b/>
          <w:bCs/>
          <w:color w:val="auto"/>
          <w:sz w:val="30"/>
          <w:szCs w:val="30"/>
          <w:highlight w:val="none"/>
          <w:lang w:val="en-US" w:eastAsia="zh-CN" w:bidi="ar-SA"/>
        </w:rPr>
        <w:t>1.董事会会议召开情况</w:t>
      </w:r>
    </w:p>
    <w:p>
      <w:pPr>
        <w:widowControl w:val="0"/>
        <w:autoSpaceDE w:val="0"/>
        <w:autoSpaceDN w:val="0"/>
        <w:adjustRightInd/>
        <w:spacing w:line="560" w:lineRule="exact"/>
        <w:ind w:firstLine="600" w:firstLineChars="200"/>
        <w:rPr>
          <w:rFonts w:hint="eastAsia" w:ascii="仿宋_GB2312" w:hAnsi="仿宋_GB2312" w:eastAsia="仿宋_GB2312" w:cs="仿宋_GB2312"/>
          <w:color w:val="auto"/>
          <w:sz w:val="30"/>
          <w:szCs w:val="30"/>
          <w:highlight w:val="none"/>
          <w:lang w:val="en-US" w:eastAsia="zh-CN" w:bidi="ar-SA"/>
        </w:rPr>
      </w:pPr>
      <w:r>
        <w:rPr>
          <w:rFonts w:hint="eastAsia" w:ascii="仿宋_GB2312" w:hAnsi="仿宋_GB2312" w:eastAsia="仿宋_GB2312" w:cs="仿宋_GB2312"/>
          <w:color w:val="auto"/>
          <w:sz w:val="30"/>
          <w:szCs w:val="30"/>
          <w:highlight w:val="none"/>
          <w:lang w:val="en-US" w:eastAsia="zh-CN" w:bidi="ar-SA"/>
        </w:rPr>
        <w:t>报告期内，本行共召开董事会例会4次。</w:t>
      </w:r>
    </w:p>
    <w:p>
      <w:pPr>
        <w:widowControl w:val="0"/>
        <w:autoSpaceDE w:val="0"/>
        <w:autoSpaceDN w:val="0"/>
        <w:adjustRightInd/>
        <w:spacing w:line="560" w:lineRule="exact"/>
        <w:ind w:firstLine="600" w:firstLineChars="200"/>
        <w:rPr>
          <w:rFonts w:ascii="仿宋_GB2312" w:hAnsi="仿宋_GB2312" w:eastAsia="仿宋_GB2312" w:cs="仿宋_GB2312"/>
          <w:color w:val="auto"/>
          <w:sz w:val="30"/>
          <w:szCs w:val="30"/>
          <w:highlight w:val="none"/>
          <w:lang w:val="en-US" w:eastAsia="zh-CN" w:bidi="ar-SA"/>
        </w:rPr>
      </w:pPr>
      <w:r>
        <w:rPr>
          <w:rFonts w:hint="eastAsia" w:ascii="仿宋_GB2312" w:hAnsi="仿宋_GB2312" w:eastAsia="仿宋_GB2312" w:cs="仿宋_GB2312"/>
          <w:color w:val="auto"/>
          <w:sz w:val="30"/>
          <w:szCs w:val="30"/>
          <w:highlight w:val="none"/>
          <w:lang w:val="en-US" w:eastAsia="zh-CN" w:bidi="ar-SA"/>
        </w:rPr>
        <w:t>（1）本行于2019年1月24日召开第二届董事会第七次会议，会议审议通过了《</w:t>
      </w:r>
      <w:r>
        <w:rPr>
          <w:rFonts w:hint="eastAsia" w:ascii="仿宋_GB2312" w:hAnsi="仿宋_GB2312" w:eastAsia="仿宋_GB2312" w:cs="仿宋_GB2312"/>
          <w:bCs/>
          <w:color w:val="auto"/>
          <w:sz w:val="30"/>
          <w:szCs w:val="30"/>
          <w:highlight w:val="none"/>
          <w:lang w:val="en-US" w:eastAsia="zh-CN" w:bidi="ar-SA"/>
        </w:rPr>
        <w:t>宁陵德商村镇银行股份有限公司2018年度行长室工作报告（草案）</w:t>
      </w:r>
      <w:r>
        <w:rPr>
          <w:rFonts w:hint="eastAsia" w:ascii="仿宋_GB2312" w:hAnsi="仿宋_GB2312" w:eastAsia="仿宋_GB2312" w:cs="仿宋_GB2312"/>
          <w:color w:val="auto"/>
          <w:sz w:val="30"/>
          <w:szCs w:val="30"/>
          <w:highlight w:val="none"/>
          <w:lang w:val="en-US" w:eastAsia="zh-CN" w:bidi="ar-SA"/>
        </w:rPr>
        <w:t>》、</w:t>
      </w:r>
      <w:r>
        <w:rPr>
          <w:rFonts w:hint="eastAsia" w:ascii="仿宋_GB2312" w:hAnsi="Times New Roman" w:eastAsia="仿宋_GB2312" w:cs="方正小标宋简体"/>
          <w:bCs/>
          <w:color w:val="auto"/>
          <w:sz w:val="30"/>
          <w:szCs w:val="30"/>
          <w:highlight w:val="none"/>
          <w:lang w:val="en-US" w:eastAsia="zh-CN" w:bidi="ar-SA"/>
        </w:rPr>
        <w:t>《宁陵德商村镇银行股份有限公司2019年机构发展规划（草案）》</w:t>
      </w:r>
      <w:r>
        <w:rPr>
          <w:rFonts w:hint="eastAsia" w:ascii="仿宋_GB2312" w:hAnsi="仿宋_GB2312" w:eastAsia="仿宋_GB2312" w:cs="仿宋_GB2312"/>
          <w:color w:val="auto"/>
          <w:sz w:val="30"/>
          <w:szCs w:val="30"/>
          <w:highlight w:val="none"/>
          <w:lang w:val="en-US" w:eastAsia="zh-CN" w:bidi="ar-SA"/>
        </w:rPr>
        <w:t>、</w:t>
      </w:r>
      <w:r>
        <w:rPr>
          <w:rFonts w:hint="eastAsia" w:ascii="仿宋_GB2312" w:hAnsi="Times New Roman" w:eastAsia="仿宋_GB2312" w:cs="方正小标宋简体"/>
          <w:bCs/>
          <w:color w:val="auto"/>
          <w:sz w:val="30"/>
          <w:szCs w:val="30"/>
          <w:highlight w:val="none"/>
          <w:lang w:val="en-US" w:eastAsia="zh-CN" w:bidi="ar-SA"/>
        </w:rPr>
        <w:t>《宁陵德商村镇银行股份有限公司董事会关于2018年度董事履职评价的报告（草案）》</w:t>
      </w:r>
      <w:r>
        <w:rPr>
          <w:rFonts w:hint="eastAsia" w:ascii="仿宋_GB2312" w:hAnsi="仿宋_GB2312" w:eastAsia="仿宋_GB2312" w:cs="仿宋_GB2312"/>
          <w:color w:val="auto"/>
          <w:sz w:val="30"/>
          <w:szCs w:val="30"/>
          <w:highlight w:val="none"/>
          <w:lang w:val="en-US" w:eastAsia="zh-CN" w:bidi="ar-SA"/>
        </w:rPr>
        <w:t>等几项议案。</w:t>
      </w:r>
    </w:p>
    <w:p>
      <w:pPr>
        <w:spacing w:line="56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（2）</w:t>
      </w:r>
      <w:r>
        <w:rPr>
          <w:rFonts w:hint="eastAsia" w:ascii="仿宋_GB2312" w:hAnsi="仿宋_GB2312" w:eastAsia="仿宋_GB2312" w:cs="仿宋_GB2312"/>
          <w:color w:val="auto"/>
          <w:sz w:val="30"/>
          <w:szCs w:val="30"/>
          <w:highlight w:val="none"/>
        </w:rPr>
        <w:t>本行于2019年</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22</w:t>
      </w:r>
      <w:r>
        <w:rPr>
          <w:rFonts w:hint="eastAsia" w:ascii="仿宋_GB2312" w:hAnsi="仿宋_GB2312" w:eastAsia="仿宋_GB2312" w:cs="仿宋_GB2312"/>
          <w:color w:val="auto"/>
          <w:sz w:val="30"/>
          <w:szCs w:val="30"/>
          <w:highlight w:val="none"/>
        </w:rPr>
        <w:t>日召开第</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届董事会第</w:t>
      </w:r>
      <w:r>
        <w:rPr>
          <w:rFonts w:hint="eastAsia" w:ascii="仿宋_GB2312" w:hAnsi="仿宋_GB2312" w:eastAsia="仿宋_GB2312" w:cs="仿宋_GB2312"/>
          <w:color w:val="auto"/>
          <w:sz w:val="30"/>
          <w:szCs w:val="30"/>
          <w:highlight w:val="none"/>
          <w:lang w:eastAsia="zh-CN"/>
        </w:rPr>
        <w:t>八</w:t>
      </w:r>
      <w:r>
        <w:rPr>
          <w:rFonts w:hint="eastAsia" w:ascii="仿宋_GB2312" w:hAnsi="仿宋_GB2312" w:eastAsia="仿宋_GB2312" w:cs="仿宋_GB2312"/>
          <w:color w:val="auto"/>
          <w:sz w:val="30"/>
          <w:szCs w:val="30"/>
          <w:highlight w:val="none"/>
        </w:rPr>
        <w:t>次会议，会议审议通过了</w:t>
      </w:r>
      <w:r>
        <w:rPr>
          <w:rFonts w:hint="eastAsia" w:ascii="仿宋_GB2312" w:eastAsia="仿宋_GB2312"/>
          <w:color w:val="auto"/>
          <w:sz w:val="30"/>
          <w:szCs w:val="30"/>
          <w:highlight w:val="none"/>
        </w:rPr>
        <w:t>《宁陵德商村镇银行股份有限公司2019年一季度经营情况报告（草案）》</w:t>
      </w:r>
      <w:r>
        <w:rPr>
          <w:rFonts w:hint="eastAsia" w:ascii="仿宋_GB2312" w:hAnsi="仿宋_GB2312" w:eastAsia="仿宋_GB2312" w:cs="仿宋_GB2312"/>
          <w:color w:val="auto"/>
          <w:sz w:val="30"/>
          <w:szCs w:val="30"/>
          <w:highlight w:val="none"/>
        </w:rPr>
        <w:t>、</w:t>
      </w:r>
      <w:r>
        <w:rPr>
          <w:rFonts w:hint="eastAsia" w:ascii="仿宋_GB2312" w:eastAsia="仿宋_GB2312"/>
          <w:color w:val="auto"/>
          <w:sz w:val="30"/>
          <w:szCs w:val="30"/>
          <w:highlight w:val="none"/>
        </w:rPr>
        <w:t>《宁陵德商村镇银行股份有限公司2018年度董事会工作报告（草案）》</w:t>
      </w:r>
      <w:r>
        <w:rPr>
          <w:rFonts w:hint="eastAsia" w:ascii="仿宋_GB2312" w:hAnsi="仿宋_GB2312" w:eastAsia="仿宋_GB2312" w:cs="仿宋_GB2312"/>
          <w:color w:val="auto"/>
          <w:kern w:val="0"/>
          <w:sz w:val="30"/>
          <w:szCs w:val="30"/>
          <w:highlight w:val="none"/>
        </w:rPr>
        <w:t>、</w:t>
      </w:r>
      <w:r>
        <w:rPr>
          <w:rFonts w:hint="eastAsia" w:ascii="仿宋_GB2312" w:eastAsia="仿宋_GB2312"/>
          <w:color w:val="auto"/>
          <w:sz w:val="30"/>
          <w:szCs w:val="30"/>
          <w:highlight w:val="none"/>
        </w:rPr>
        <w:t>《宁陵德商村镇银行股份有限公司2018年度财务决算报告（草案）》</w:t>
      </w:r>
      <w:r>
        <w:rPr>
          <w:rFonts w:hint="eastAsia" w:ascii="仿宋_GB2312" w:hAnsi="仿宋_GB2312" w:eastAsia="仿宋_GB2312" w:cs="仿宋_GB2312"/>
          <w:color w:val="auto"/>
          <w:kern w:val="0"/>
          <w:sz w:val="30"/>
          <w:szCs w:val="30"/>
          <w:highlight w:val="none"/>
        </w:rPr>
        <w:t>等几项议案</w:t>
      </w:r>
      <w:r>
        <w:rPr>
          <w:rFonts w:hint="eastAsia" w:ascii="仿宋_GB2312" w:hAnsi="仿宋_GB2312" w:eastAsia="仿宋_GB2312" w:cs="仿宋_GB2312"/>
          <w:color w:val="auto"/>
          <w:sz w:val="30"/>
          <w:szCs w:val="30"/>
          <w:highlight w:val="none"/>
        </w:rPr>
        <w:t>。</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kern w:val="0"/>
          <w:sz w:val="30"/>
          <w:szCs w:val="30"/>
          <w:highlight w:val="none"/>
        </w:rPr>
        <w:t>（3）</w:t>
      </w:r>
      <w:r>
        <w:rPr>
          <w:rFonts w:hint="eastAsia" w:ascii="仿宋_GB2312" w:hAnsi="仿宋_GB2312" w:eastAsia="仿宋_GB2312" w:cs="仿宋_GB2312"/>
          <w:color w:val="auto"/>
          <w:sz w:val="30"/>
          <w:szCs w:val="30"/>
          <w:highlight w:val="none"/>
        </w:rPr>
        <w:t>本行于2019年</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日召开第</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届董事会第</w:t>
      </w:r>
      <w:r>
        <w:rPr>
          <w:rFonts w:hint="eastAsia" w:ascii="仿宋_GB2312" w:hAnsi="仿宋_GB2312" w:eastAsia="仿宋_GB2312" w:cs="仿宋_GB2312"/>
          <w:color w:val="auto"/>
          <w:sz w:val="30"/>
          <w:szCs w:val="30"/>
          <w:highlight w:val="none"/>
          <w:lang w:eastAsia="zh-CN"/>
        </w:rPr>
        <w:t>九</w:t>
      </w:r>
      <w:r>
        <w:rPr>
          <w:rFonts w:hint="eastAsia" w:ascii="仿宋_GB2312" w:hAnsi="仿宋_GB2312" w:eastAsia="仿宋_GB2312" w:cs="仿宋_GB2312"/>
          <w:color w:val="auto"/>
          <w:sz w:val="30"/>
          <w:szCs w:val="30"/>
          <w:highlight w:val="none"/>
        </w:rPr>
        <w:t>次会议，会议审议通过了《宁陵德商村镇银行股份有限公司2019年上半年度经营情况报告（草案）》、《宁陵德商村镇银行股份有限公司信贷管理办法（修改草案）》</w:t>
      </w: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color w:val="auto"/>
          <w:sz w:val="30"/>
          <w:szCs w:val="30"/>
          <w:highlight w:val="none"/>
        </w:rPr>
        <w:t>《宁陵德商村镇银行股份有限公司财务管理办法（修改草案）》</w:t>
      </w:r>
      <w:r>
        <w:rPr>
          <w:rFonts w:hint="eastAsia" w:ascii="仿宋_GB2312" w:hAnsi="仿宋_GB2312" w:eastAsia="仿宋_GB2312" w:cs="仿宋_GB2312"/>
          <w:color w:val="auto"/>
          <w:kern w:val="0"/>
          <w:sz w:val="30"/>
          <w:szCs w:val="30"/>
          <w:highlight w:val="none"/>
        </w:rPr>
        <w:t>等几项议案</w:t>
      </w:r>
      <w:r>
        <w:rPr>
          <w:rFonts w:hint="eastAsia" w:ascii="仿宋_GB2312" w:hAnsi="仿宋_GB2312" w:eastAsia="仿宋_GB2312" w:cs="仿宋_GB2312"/>
          <w:color w:val="auto"/>
          <w:sz w:val="30"/>
          <w:szCs w:val="30"/>
          <w:highlight w:val="none"/>
        </w:rPr>
        <w:t>。</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color w:val="auto"/>
          <w:kern w:val="0"/>
          <w:sz w:val="30"/>
          <w:szCs w:val="30"/>
          <w:highlight w:val="none"/>
          <w:lang w:val="en-US" w:eastAsia="zh-CN"/>
        </w:rPr>
        <w:t>4</w:t>
      </w: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color w:val="auto"/>
          <w:sz w:val="30"/>
          <w:szCs w:val="30"/>
          <w:highlight w:val="none"/>
        </w:rPr>
        <w:t>本行于2019年</w:t>
      </w:r>
      <w:r>
        <w:rPr>
          <w:rFonts w:hint="eastAsia" w:ascii="仿宋_GB2312" w:hAnsi="仿宋_GB2312" w:eastAsia="仿宋_GB2312" w:cs="仿宋_GB2312"/>
          <w:color w:val="auto"/>
          <w:sz w:val="30"/>
          <w:szCs w:val="30"/>
          <w:highlight w:val="none"/>
          <w:lang w:val="en-US" w:eastAsia="zh-CN"/>
        </w:rPr>
        <w:t>11</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20</w:t>
      </w:r>
      <w:r>
        <w:rPr>
          <w:rFonts w:hint="eastAsia" w:ascii="仿宋_GB2312" w:hAnsi="仿宋_GB2312" w:eastAsia="仿宋_GB2312" w:cs="仿宋_GB2312"/>
          <w:color w:val="auto"/>
          <w:sz w:val="30"/>
          <w:szCs w:val="30"/>
          <w:highlight w:val="none"/>
        </w:rPr>
        <w:t>日召开第</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届董事会第</w:t>
      </w:r>
      <w:r>
        <w:rPr>
          <w:rFonts w:hint="eastAsia" w:ascii="仿宋_GB2312" w:hAnsi="仿宋_GB2312" w:eastAsia="仿宋_GB2312" w:cs="仿宋_GB2312"/>
          <w:color w:val="auto"/>
          <w:sz w:val="30"/>
          <w:szCs w:val="30"/>
          <w:highlight w:val="none"/>
          <w:lang w:eastAsia="zh-CN"/>
        </w:rPr>
        <w:t>十</w:t>
      </w:r>
      <w:r>
        <w:rPr>
          <w:rFonts w:hint="eastAsia" w:ascii="仿宋_GB2312" w:hAnsi="仿宋_GB2312" w:eastAsia="仿宋_GB2312" w:cs="仿宋_GB2312"/>
          <w:color w:val="auto"/>
          <w:sz w:val="30"/>
          <w:szCs w:val="30"/>
          <w:highlight w:val="none"/>
        </w:rPr>
        <w:t>次会议，会议审议通过了</w:t>
      </w:r>
      <w:r>
        <w:rPr>
          <w:rFonts w:hint="eastAsia" w:ascii="仿宋_GB2312" w:eastAsia="仿宋_GB2312"/>
          <w:color w:val="auto"/>
          <w:sz w:val="30"/>
          <w:szCs w:val="30"/>
          <w:highlight w:val="none"/>
        </w:rPr>
        <w:t>《宁陵德商村镇银行股份有限公司201</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年前三季度业务经营情况报告（草案）》</w:t>
      </w:r>
      <w:r>
        <w:rPr>
          <w:rFonts w:hint="eastAsia" w:ascii="仿宋_GB2312" w:hAnsi="仿宋_GB2312" w:eastAsia="仿宋_GB2312" w:cs="仿宋_GB2312"/>
          <w:color w:val="auto"/>
          <w:sz w:val="30"/>
          <w:szCs w:val="30"/>
          <w:highlight w:val="none"/>
        </w:rPr>
        <w:t>、《</w:t>
      </w:r>
      <w:r>
        <w:rPr>
          <w:rFonts w:hint="eastAsia" w:ascii="仿宋_GB2312" w:eastAsia="仿宋_GB2312"/>
          <w:color w:val="auto"/>
          <w:sz w:val="30"/>
          <w:szCs w:val="30"/>
          <w:highlight w:val="none"/>
          <w:lang w:val="en-US" w:eastAsia="zh-CN"/>
        </w:rPr>
        <w:t>宁陵德商村镇银行股份有限公司董事会风险管理委员会议事规则（草案）</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color w:val="auto"/>
          <w:sz w:val="30"/>
          <w:szCs w:val="30"/>
          <w:highlight w:val="none"/>
        </w:rPr>
        <w:t>《</w:t>
      </w:r>
      <w:r>
        <w:rPr>
          <w:rFonts w:hint="eastAsia" w:ascii="仿宋_GB2312" w:eastAsia="仿宋_GB2312"/>
          <w:color w:val="auto"/>
          <w:sz w:val="30"/>
          <w:szCs w:val="30"/>
          <w:highlight w:val="none"/>
          <w:lang w:val="en-US" w:eastAsia="zh-CN"/>
        </w:rPr>
        <w:t>关于设立宁陵德商村镇银行股份有限公司董事会风险管理委员会的议案</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kern w:val="0"/>
          <w:sz w:val="30"/>
          <w:szCs w:val="30"/>
          <w:highlight w:val="none"/>
        </w:rPr>
        <w:t>等几项议案</w:t>
      </w:r>
      <w:r>
        <w:rPr>
          <w:rFonts w:hint="eastAsia" w:ascii="仿宋_GB2312" w:hAnsi="仿宋_GB2312" w:eastAsia="仿宋_GB2312" w:cs="仿宋_GB2312"/>
          <w:color w:val="auto"/>
          <w:sz w:val="30"/>
          <w:szCs w:val="30"/>
          <w:highlight w:val="none"/>
        </w:rPr>
        <w:t>。</w:t>
      </w:r>
    </w:p>
    <w:p>
      <w:pPr>
        <w:spacing w:line="560" w:lineRule="exact"/>
        <w:ind w:firstLine="602" w:firstLineChars="200"/>
        <w:rPr>
          <w:rFonts w:hint="eastAsia" w:ascii="仿宋_GB2312" w:hAnsi="仿宋_GB2312" w:eastAsia="仿宋_GB2312" w:cs="仿宋_GB2312"/>
          <w:b/>
          <w:bCs/>
          <w:color w:val="auto"/>
          <w:kern w:val="0"/>
          <w:sz w:val="30"/>
          <w:szCs w:val="30"/>
          <w:highlight w:val="none"/>
        </w:rPr>
      </w:pPr>
      <w:r>
        <w:rPr>
          <w:rFonts w:hint="eastAsia" w:ascii="仿宋_GB2312" w:hAnsi="仿宋_GB2312" w:eastAsia="仿宋_GB2312" w:cs="仿宋_GB2312"/>
          <w:b/>
          <w:bCs/>
          <w:color w:val="auto"/>
          <w:kern w:val="0"/>
          <w:sz w:val="30"/>
          <w:szCs w:val="30"/>
          <w:highlight w:val="none"/>
        </w:rPr>
        <w:t>2.董事会对股东大会的执行情况</w:t>
      </w:r>
    </w:p>
    <w:p>
      <w:pPr>
        <w:spacing w:line="56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报告期内，董事会按照股东大会的决议，制定工作计划，落实措施，严格执行股东大会通过的预算方案，在预算指标下全面完成各项经营任务。</w:t>
      </w:r>
    </w:p>
    <w:p>
      <w:pPr>
        <w:spacing w:line="560" w:lineRule="exact"/>
        <w:ind w:firstLine="602" w:firstLineChars="200"/>
        <w:rPr>
          <w:rFonts w:hint="eastAsia" w:ascii="仿宋_GB2312" w:hAnsi="仿宋_GB2312" w:eastAsia="仿宋_GB2312" w:cs="仿宋_GB2312"/>
          <w:b/>
          <w:bCs/>
          <w:color w:val="auto"/>
          <w:kern w:val="0"/>
          <w:sz w:val="30"/>
          <w:szCs w:val="30"/>
          <w:highlight w:val="none"/>
        </w:rPr>
      </w:pPr>
      <w:r>
        <w:rPr>
          <w:rFonts w:hint="eastAsia" w:ascii="仿宋_GB2312" w:hAnsi="仿宋_GB2312" w:eastAsia="仿宋_GB2312" w:cs="仿宋_GB2312"/>
          <w:b/>
          <w:bCs/>
          <w:color w:val="auto"/>
          <w:kern w:val="0"/>
          <w:sz w:val="30"/>
          <w:szCs w:val="30"/>
          <w:highlight w:val="none"/>
        </w:rPr>
        <w:t>3.董事会专门委员会会议召开情况</w:t>
      </w:r>
    </w:p>
    <w:p>
      <w:pPr>
        <w:spacing w:line="56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报告期内，共召开董事会专门委员会会议</w:t>
      </w:r>
      <w:r>
        <w:rPr>
          <w:rFonts w:hint="eastAsia" w:ascii="仿宋_GB2312" w:hAnsi="仿宋_GB2312" w:eastAsia="仿宋_GB2312" w:cs="仿宋_GB2312"/>
          <w:color w:val="auto"/>
          <w:kern w:val="0"/>
          <w:sz w:val="30"/>
          <w:szCs w:val="30"/>
          <w:highlight w:val="none"/>
          <w:lang w:val="en-US" w:eastAsia="zh-CN"/>
        </w:rPr>
        <w:t>6</w:t>
      </w:r>
      <w:r>
        <w:rPr>
          <w:rFonts w:hint="eastAsia" w:ascii="仿宋_GB2312" w:hAnsi="仿宋_GB2312" w:eastAsia="仿宋_GB2312" w:cs="仿宋_GB2312"/>
          <w:color w:val="auto"/>
          <w:kern w:val="0"/>
          <w:sz w:val="30"/>
          <w:szCs w:val="30"/>
          <w:highlight w:val="none"/>
        </w:rPr>
        <w:t xml:space="preserve"> 次，其中董事会提名与薪酬委员会会议</w:t>
      </w:r>
      <w:r>
        <w:rPr>
          <w:rFonts w:hint="eastAsia" w:ascii="仿宋_GB2312" w:hAnsi="仿宋_GB2312" w:eastAsia="仿宋_GB2312" w:cs="仿宋_GB2312"/>
          <w:color w:val="auto"/>
          <w:kern w:val="0"/>
          <w:sz w:val="30"/>
          <w:szCs w:val="30"/>
          <w:highlight w:val="none"/>
          <w:lang w:val="en-US" w:eastAsia="zh-CN"/>
        </w:rPr>
        <w:t>1</w:t>
      </w:r>
      <w:r>
        <w:rPr>
          <w:rFonts w:hint="eastAsia" w:ascii="仿宋_GB2312" w:hAnsi="仿宋_GB2312" w:eastAsia="仿宋_GB2312" w:cs="仿宋_GB2312"/>
          <w:color w:val="auto"/>
          <w:kern w:val="0"/>
          <w:sz w:val="30"/>
          <w:szCs w:val="30"/>
          <w:highlight w:val="none"/>
        </w:rPr>
        <w:t>次，董事会消费者权益保护委员会会议</w:t>
      </w:r>
      <w:r>
        <w:rPr>
          <w:rFonts w:hint="eastAsia" w:ascii="仿宋_GB2312" w:hAnsi="仿宋_GB2312" w:eastAsia="仿宋_GB2312" w:cs="仿宋_GB2312"/>
          <w:color w:val="auto"/>
          <w:kern w:val="0"/>
          <w:sz w:val="30"/>
          <w:szCs w:val="30"/>
          <w:highlight w:val="none"/>
          <w:lang w:val="en-US" w:eastAsia="zh-CN"/>
        </w:rPr>
        <w:t>1</w:t>
      </w:r>
      <w:r>
        <w:rPr>
          <w:rFonts w:hint="eastAsia" w:ascii="仿宋_GB2312" w:hAnsi="仿宋_GB2312" w:eastAsia="仿宋_GB2312" w:cs="仿宋_GB2312"/>
          <w:color w:val="auto"/>
          <w:kern w:val="0"/>
          <w:sz w:val="30"/>
          <w:szCs w:val="30"/>
          <w:highlight w:val="none"/>
        </w:rPr>
        <w:t>次</w:t>
      </w:r>
      <w:r>
        <w:rPr>
          <w:rFonts w:hint="eastAsia" w:ascii="仿宋_GB2312" w:hAnsi="仿宋_GB2312" w:eastAsia="仿宋_GB2312" w:cs="仿宋_GB2312"/>
          <w:color w:val="auto"/>
          <w:kern w:val="0"/>
          <w:sz w:val="30"/>
          <w:szCs w:val="30"/>
          <w:highlight w:val="none"/>
          <w:lang w:eastAsia="zh-CN"/>
        </w:rPr>
        <w:t>，董事会审计与关联交易控制委员会会议</w:t>
      </w:r>
      <w:r>
        <w:rPr>
          <w:rFonts w:hint="eastAsia" w:ascii="仿宋_GB2312" w:hAnsi="仿宋_GB2312" w:eastAsia="仿宋_GB2312" w:cs="仿宋_GB2312"/>
          <w:color w:val="auto"/>
          <w:kern w:val="0"/>
          <w:sz w:val="30"/>
          <w:szCs w:val="30"/>
          <w:highlight w:val="none"/>
          <w:lang w:val="en-US" w:eastAsia="zh-CN"/>
        </w:rPr>
        <w:t>2次，董事会“三农”与小微企业金融服务委员会会议1次，董事会风险管理委员会会议1次</w:t>
      </w:r>
      <w:r>
        <w:rPr>
          <w:rFonts w:hint="eastAsia" w:ascii="仿宋_GB2312" w:hAnsi="仿宋_GB2312" w:eastAsia="仿宋_GB2312" w:cs="仿宋_GB2312"/>
          <w:color w:val="auto"/>
          <w:kern w:val="0"/>
          <w:sz w:val="30"/>
          <w:szCs w:val="30"/>
          <w:highlight w:val="none"/>
        </w:rPr>
        <w:t>。</w:t>
      </w:r>
    </w:p>
    <w:p>
      <w:pPr>
        <w:spacing w:line="560" w:lineRule="exact"/>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三、监事会的构成及其工作情况</w:t>
      </w:r>
    </w:p>
    <w:p>
      <w:pPr>
        <w:numPr>
          <w:ilvl w:val="0"/>
          <w:numId w:val="1"/>
        </w:numPr>
        <w:spacing w:line="560" w:lineRule="exact"/>
        <w:ind w:left="0" w:firstLine="600" w:firstLineChars="200"/>
        <w:rPr>
          <w:rFonts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监事会成员基本情况                               </w:t>
      </w:r>
    </w:p>
    <w:tbl>
      <w:tblPr>
        <w:tblStyle w:val="2"/>
        <w:tblW w:w="85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0"/>
        <w:gridCol w:w="713"/>
        <w:gridCol w:w="567"/>
        <w:gridCol w:w="850"/>
        <w:gridCol w:w="567"/>
        <w:gridCol w:w="4111"/>
        <w:gridCol w:w="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0" w:hRule="atLeast"/>
          <w:tblCellSpacing w:w="0" w:type="dxa"/>
        </w:trPr>
        <w:tc>
          <w:tcPr>
            <w:tcW w:w="72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职务</w:t>
            </w:r>
          </w:p>
        </w:tc>
        <w:tc>
          <w:tcPr>
            <w:tcW w:w="713"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姓名</w:t>
            </w: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性别</w:t>
            </w:r>
          </w:p>
        </w:tc>
        <w:tc>
          <w:tcPr>
            <w:tcW w:w="850"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出生年月</w:t>
            </w:r>
          </w:p>
        </w:tc>
        <w:tc>
          <w:tcPr>
            <w:tcW w:w="567"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学历</w:t>
            </w:r>
          </w:p>
        </w:tc>
        <w:tc>
          <w:tcPr>
            <w:tcW w:w="4111"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任职单位及职务</w:t>
            </w:r>
          </w:p>
        </w:tc>
        <w:tc>
          <w:tcPr>
            <w:tcW w:w="992" w:type="dxa"/>
            <w:tcBorders>
              <w:top w:val="outset" w:color="auto" w:sz="6" w:space="0"/>
              <w:left w:val="outset" w:color="auto" w:sz="6" w:space="0"/>
              <w:bottom w:val="outset" w:color="auto" w:sz="6" w:space="0"/>
              <w:right w:val="outset" w:color="auto" w:sz="6" w:space="0"/>
            </w:tcBorders>
            <w:noWrap w:val="0"/>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持有股份（股）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720"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ascii="宋体" w:hAnsi="宋体" w:cs="宋体"/>
                <w:color w:val="000000"/>
                <w:sz w:val="18"/>
                <w:szCs w:val="18"/>
              </w:rPr>
            </w:pPr>
            <w:r>
              <w:rPr>
                <w:rFonts w:hint="eastAsia" w:ascii="宋体" w:hAnsi="宋体" w:cs="宋体"/>
                <w:color w:val="000000"/>
                <w:sz w:val="18"/>
                <w:szCs w:val="18"/>
              </w:rPr>
              <w:t>监事长</w:t>
            </w:r>
          </w:p>
        </w:tc>
        <w:tc>
          <w:tcPr>
            <w:tcW w:w="713"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sz w:val="18"/>
                <w:szCs w:val="18"/>
                <w:highlight w:val="none"/>
              </w:rPr>
              <w:t>王伟芬</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sz w:val="18"/>
                <w:szCs w:val="18"/>
                <w:highlight w:val="none"/>
              </w:rPr>
              <w:t>女</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1976.01</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本科</w:t>
            </w:r>
          </w:p>
        </w:tc>
        <w:tc>
          <w:tcPr>
            <w:tcW w:w="411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宁陵德商村镇银行监事长（兼职）</w:t>
            </w:r>
          </w:p>
        </w:tc>
        <w:tc>
          <w:tcPr>
            <w:tcW w:w="992"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 w:hRule="atLeast"/>
          <w:tblCellSpacing w:w="0" w:type="dxa"/>
        </w:trPr>
        <w:tc>
          <w:tcPr>
            <w:tcW w:w="720" w:type="dxa"/>
            <w:tcBorders>
              <w:top w:val="outset" w:color="auto" w:sz="6" w:space="0"/>
              <w:left w:val="outset" w:color="auto" w:sz="6" w:space="0"/>
              <w:bottom w:val="outset" w:color="auto" w:sz="6" w:space="0"/>
              <w:right w:val="outset" w:color="auto" w:sz="6" w:space="0"/>
            </w:tcBorders>
            <w:noWrap w:val="0"/>
            <w:vAlign w:val="center"/>
          </w:tcPr>
          <w:p>
            <w:pPr>
              <w:spacing w:line="400" w:lineRule="exact"/>
              <w:ind w:firstLine="90" w:firstLineChars="50"/>
              <w:rPr>
                <w:rFonts w:ascii="宋体" w:hAnsi="宋体" w:cs="宋体"/>
                <w:color w:val="000000"/>
                <w:sz w:val="18"/>
                <w:szCs w:val="18"/>
              </w:rPr>
            </w:pPr>
            <w:r>
              <w:rPr>
                <w:rFonts w:hint="eastAsia" w:ascii="宋体" w:hAnsi="宋体" w:cs="宋体"/>
                <w:color w:val="000000"/>
                <w:sz w:val="18"/>
                <w:szCs w:val="18"/>
              </w:rPr>
              <w:t>监事</w:t>
            </w:r>
          </w:p>
        </w:tc>
        <w:tc>
          <w:tcPr>
            <w:tcW w:w="713"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sz w:val="18"/>
                <w:szCs w:val="18"/>
                <w:highlight w:val="none"/>
              </w:rPr>
              <w:t>朱韩英</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sz w:val="18"/>
                <w:szCs w:val="18"/>
                <w:highlight w:val="none"/>
              </w:rPr>
              <w:t>女</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1986.03</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本科</w:t>
            </w:r>
          </w:p>
        </w:tc>
        <w:tc>
          <w:tcPr>
            <w:tcW w:w="411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kern w:val="0"/>
                <w:sz w:val="18"/>
                <w:szCs w:val="18"/>
              </w:rPr>
            </w:pPr>
            <w:r>
              <w:rPr>
                <w:rFonts w:hint="eastAsia" w:ascii="宋体" w:hAnsi="宋体" w:eastAsia="宋体" w:cs="宋体"/>
                <w:color w:val="auto"/>
                <w:kern w:val="0"/>
                <w:sz w:val="18"/>
                <w:szCs w:val="18"/>
                <w:highlight w:val="none"/>
              </w:rPr>
              <w:t>宁陵德商村镇银行综合管理部</w:t>
            </w:r>
            <w:r>
              <w:rPr>
                <w:rFonts w:hint="eastAsia" w:ascii="宋体" w:hAnsi="宋体" w:eastAsia="宋体" w:cs="宋体"/>
                <w:color w:val="auto"/>
                <w:kern w:val="0"/>
                <w:sz w:val="18"/>
                <w:szCs w:val="18"/>
                <w:highlight w:val="none"/>
                <w:lang w:eastAsia="zh-CN"/>
              </w:rPr>
              <w:t>总经理（中层副职）</w:t>
            </w:r>
          </w:p>
        </w:tc>
        <w:tc>
          <w:tcPr>
            <w:tcW w:w="992"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80" w:hRule="atLeast"/>
          <w:tblCellSpacing w:w="0" w:type="dxa"/>
        </w:trPr>
        <w:tc>
          <w:tcPr>
            <w:tcW w:w="720" w:type="dxa"/>
            <w:tcBorders>
              <w:top w:val="outset" w:color="auto" w:sz="6" w:space="0"/>
              <w:left w:val="outset" w:color="auto" w:sz="6" w:space="0"/>
              <w:bottom w:val="outset" w:color="auto" w:sz="6" w:space="0"/>
              <w:right w:val="outset" w:color="auto" w:sz="6" w:space="0"/>
            </w:tcBorders>
            <w:noWrap w:val="0"/>
            <w:vAlign w:val="center"/>
          </w:tcPr>
          <w:p>
            <w:pPr>
              <w:spacing w:line="400" w:lineRule="exact"/>
              <w:ind w:firstLine="90" w:firstLineChars="50"/>
              <w:rPr>
                <w:rFonts w:ascii="宋体" w:hAnsi="宋体" w:cs="宋体"/>
                <w:color w:val="000000"/>
                <w:sz w:val="18"/>
                <w:szCs w:val="18"/>
              </w:rPr>
            </w:pPr>
            <w:r>
              <w:rPr>
                <w:rFonts w:hint="eastAsia" w:ascii="宋体" w:hAnsi="宋体" w:cs="宋体"/>
                <w:color w:val="000000"/>
                <w:sz w:val="18"/>
                <w:szCs w:val="18"/>
              </w:rPr>
              <w:t>监事</w:t>
            </w:r>
          </w:p>
        </w:tc>
        <w:tc>
          <w:tcPr>
            <w:tcW w:w="713"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kern w:val="0"/>
                <w:sz w:val="18"/>
                <w:szCs w:val="18"/>
                <w:highlight w:val="none"/>
              </w:rPr>
              <w:t>段继红</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sz w:val="18"/>
                <w:szCs w:val="18"/>
                <w:highlight w:val="none"/>
                <w:lang w:eastAsia="zh-CN"/>
              </w:rPr>
              <w:t>女</w:t>
            </w:r>
          </w:p>
        </w:tc>
        <w:tc>
          <w:tcPr>
            <w:tcW w:w="850"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1968</w:t>
            </w:r>
            <w:r>
              <w:rPr>
                <w:rFonts w:hint="eastAsia" w:ascii="宋体" w:hAnsi="宋体" w:eastAsia="宋体" w:cs="宋体"/>
                <w:color w:val="auto"/>
                <w:kern w:val="0"/>
                <w:sz w:val="18"/>
                <w:szCs w:val="18"/>
                <w:highlight w:val="none"/>
                <w:lang w:val="en-US" w:eastAsia="zh-CN"/>
              </w:rPr>
              <w:t>.0</w:t>
            </w:r>
            <w:r>
              <w:rPr>
                <w:rFonts w:hint="eastAsia" w:ascii="宋体" w:hAnsi="宋体" w:eastAsia="宋体" w:cs="宋体"/>
                <w:color w:val="auto"/>
                <w:kern w:val="0"/>
                <w:sz w:val="18"/>
                <w:szCs w:val="18"/>
                <w:highlight w:val="none"/>
              </w:rPr>
              <w:t>8</w:t>
            </w:r>
          </w:p>
        </w:tc>
        <w:tc>
          <w:tcPr>
            <w:tcW w:w="567"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lang w:eastAsia="zh-CN"/>
              </w:rPr>
              <w:t>高中</w:t>
            </w:r>
          </w:p>
        </w:tc>
        <w:tc>
          <w:tcPr>
            <w:tcW w:w="4111"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商丘市亚西装饰板厂任总经理</w:t>
            </w:r>
          </w:p>
        </w:tc>
        <w:tc>
          <w:tcPr>
            <w:tcW w:w="992" w:type="dxa"/>
            <w:tcBorders>
              <w:top w:val="outset" w:color="auto" w:sz="6" w:space="0"/>
              <w:left w:val="outset" w:color="auto" w:sz="6" w:space="0"/>
              <w:bottom w:val="outset" w:color="auto" w:sz="6" w:space="0"/>
              <w:right w:val="outset" w:color="auto" w:sz="6" w:space="0"/>
            </w:tcBorders>
            <w:noWrap w:val="0"/>
            <w:vAlign w:val="center"/>
          </w:tcPr>
          <w:p>
            <w:pPr>
              <w:spacing w:line="40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400万</w:t>
            </w:r>
          </w:p>
        </w:tc>
      </w:tr>
    </w:tbl>
    <w:p>
      <w:pPr>
        <w:numPr>
          <w:ilvl w:val="0"/>
          <w:numId w:val="1"/>
        </w:numPr>
        <w:spacing w:line="560" w:lineRule="exact"/>
        <w:ind w:left="0" w:firstLine="602" w:firstLineChars="200"/>
        <w:rPr>
          <w:rFonts w:hint="eastAsia" w:ascii="楷体" w:hAnsi="楷体" w:eastAsia="楷体" w:cs="楷体"/>
          <w:b/>
          <w:bCs/>
          <w:color w:val="auto"/>
          <w:kern w:val="0"/>
          <w:sz w:val="30"/>
          <w:szCs w:val="30"/>
          <w:highlight w:val="none"/>
        </w:rPr>
      </w:pPr>
      <w:r>
        <w:rPr>
          <w:rFonts w:hint="eastAsia" w:ascii="楷体" w:hAnsi="楷体" w:eastAsia="楷体" w:cs="楷体"/>
          <w:b/>
          <w:bCs/>
          <w:color w:val="auto"/>
          <w:kern w:val="0"/>
          <w:sz w:val="30"/>
          <w:szCs w:val="30"/>
          <w:highlight w:val="none"/>
        </w:rPr>
        <w:t>监事会工作情况</w:t>
      </w:r>
    </w:p>
    <w:p>
      <w:pPr>
        <w:spacing w:line="560" w:lineRule="exact"/>
        <w:ind w:firstLine="602" w:firstLineChars="200"/>
        <w:rPr>
          <w:rFonts w:hint="eastAsia" w:ascii="仿宋_GB2312" w:hAnsi="仿宋_GB2312" w:eastAsia="仿宋_GB2312" w:cs="仿宋_GB2312"/>
          <w:b/>
          <w:bCs/>
          <w:color w:val="auto"/>
          <w:kern w:val="0"/>
          <w:sz w:val="30"/>
          <w:szCs w:val="30"/>
          <w:highlight w:val="none"/>
        </w:rPr>
      </w:pPr>
      <w:r>
        <w:rPr>
          <w:rFonts w:hint="eastAsia" w:ascii="仿宋_GB2312" w:hAnsi="仿宋_GB2312" w:eastAsia="仿宋_GB2312" w:cs="仿宋_GB2312"/>
          <w:b/>
          <w:bCs/>
          <w:color w:val="auto"/>
          <w:kern w:val="0"/>
          <w:sz w:val="30"/>
          <w:szCs w:val="30"/>
          <w:highlight w:val="none"/>
        </w:rPr>
        <w:t>1.监事会会议召开情况</w:t>
      </w:r>
    </w:p>
    <w:p>
      <w:pPr>
        <w:spacing w:line="56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报告期内，本行共召开监事会</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rPr>
        <w:t>次，其中例会</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次、临时会议1次。</w:t>
      </w:r>
    </w:p>
    <w:p>
      <w:pPr>
        <w:spacing w:line="560" w:lineRule="exact"/>
        <w:ind w:firstLine="600" w:firstLineChars="200"/>
        <w:rPr>
          <w:rFonts w:hint="eastAsia" w:ascii="仿宋_GB2312" w:hAnsi="仿宋_GB2312" w:eastAsia="仿宋_GB2312" w:cs="仿宋_GB2312"/>
          <w:color w:val="auto"/>
          <w:kern w:val="0"/>
          <w:sz w:val="30"/>
          <w:szCs w:val="30"/>
          <w:highlight w:val="none"/>
          <w:lang w:eastAsia="zh-CN"/>
        </w:rPr>
      </w:pPr>
      <w:r>
        <w:rPr>
          <w:rFonts w:hint="eastAsia" w:ascii="仿宋_GB2312" w:hAnsi="仿宋_GB2312" w:eastAsia="仿宋_GB2312" w:cs="仿宋_GB2312"/>
          <w:color w:val="auto"/>
          <w:sz w:val="30"/>
          <w:szCs w:val="30"/>
          <w:highlight w:val="none"/>
        </w:rPr>
        <w:t>（1）本行于2019年</w:t>
      </w: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24</w:t>
      </w:r>
      <w:r>
        <w:rPr>
          <w:rFonts w:hint="eastAsia" w:ascii="仿宋_GB2312" w:hAnsi="仿宋_GB2312" w:eastAsia="仿宋_GB2312" w:cs="仿宋_GB2312"/>
          <w:color w:val="auto"/>
          <w:sz w:val="30"/>
          <w:szCs w:val="30"/>
          <w:highlight w:val="none"/>
        </w:rPr>
        <w:t>日召开第</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届监事会第</w:t>
      </w:r>
      <w:r>
        <w:rPr>
          <w:rFonts w:hint="eastAsia" w:ascii="仿宋_GB2312" w:hAnsi="仿宋_GB2312" w:eastAsia="仿宋_GB2312" w:cs="仿宋_GB2312"/>
          <w:color w:val="auto"/>
          <w:sz w:val="30"/>
          <w:szCs w:val="30"/>
          <w:highlight w:val="none"/>
          <w:lang w:eastAsia="zh-CN"/>
        </w:rPr>
        <w:t>九</w:t>
      </w:r>
      <w:r>
        <w:rPr>
          <w:rFonts w:hint="eastAsia" w:ascii="仿宋_GB2312" w:hAnsi="仿宋_GB2312" w:eastAsia="仿宋_GB2312" w:cs="仿宋_GB2312"/>
          <w:color w:val="auto"/>
          <w:sz w:val="30"/>
          <w:szCs w:val="30"/>
          <w:highlight w:val="none"/>
        </w:rPr>
        <w:t>次会议，会议审议通过了</w:t>
      </w:r>
      <w:r>
        <w:rPr>
          <w:rFonts w:hint="eastAsia" w:ascii="仿宋_GB2312" w:eastAsia="仿宋_GB2312"/>
          <w:bCs/>
          <w:color w:val="auto"/>
          <w:sz w:val="30"/>
          <w:szCs w:val="30"/>
          <w:highlight w:val="none"/>
        </w:rPr>
        <w:t>《宁陵德商村镇银行股份有限公司2018年度监事会工作报告（草案）》</w:t>
      </w:r>
      <w:r>
        <w:rPr>
          <w:rFonts w:hint="eastAsia" w:ascii="仿宋_GB2312" w:hAnsi="仿宋_GB2312" w:eastAsia="仿宋_GB2312" w:cs="仿宋_GB2312"/>
          <w:color w:val="auto"/>
          <w:sz w:val="30"/>
          <w:szCs w:val="30"/>
          <w:highlight w:val="none"/>
        </w:rPr>
        <w:t>、</w:t>
      </w:r>
      <w:r>
        <w:rPr>
          <w:rFonts w:hint="eastAsia" w:ascii="仿宋_GB2312" w:hAnsi="方正小标宋_GBK" w:eastAsia="仿宋_GB2312"/>
          <w:color w:val="auto"/>
          <w:kern w:val="0"/>
          <w:sz w:val="30"/>
          <w:szCs w:val="30"/>
          <w:highlight w:val="none"/>
        </w:rPr>
        <w:t>《宁陵德商村镇银行股份有限公司监事会关于</w:t>
      </w:r>
      <w:r>
        <w:rPr>
          <w:rFonts w:ascii="仿宋_GB2312" w:hAnsi="方正小标宋_GBK" w:eastAsia="仿宋_GB2312"/>
          <w:color w:val="auto"/>
          <w:kern w:val="0"/>
          <w:sz w:val="30"/>
          <w:szCs w:val="30"/>
          <w:highlight w:val="none"/>
        </w:rPr>
        <w:t>201</w:t>
      </w:r>
      <w:r>
        <w:rPr>
          <w:rFonts w:hint="eastAsia" w:ascii="仿宋_GB2312" w:hAnsi="方正小标宋_GBK" w:eastAsia="仿宋_GB2312"/>
          <w:color w:val="auto"/>
          <w:kern w:val="0"/>
          <w:sz w:val="30"/>
          <w:szCs w:val="30"/>
          <w:highlight w:val="none"/>
        </w:rPr>
        <w:t>8年度监事履职评价的报告（草案）》</w:t>
      </w:r>
      <w:r>
        <w:rPr>
          <w:rFonts w:hint="eastAsia" w:ascii="仿宋_GB2312" w:hAnsi="仿宋_GB2312" w:eastAsia="仿宋_GB2312" w:cs="仿宋_GB2312"/>
          <w:color w:val="auto"/>
          <w:kern w:val="0"/>
          <w:sz w:val="30"/>
          <w:szCs w:val="30"/>
          <w:highlight w:val="none"/>
        </w:rPr>
        <w:t>等议案</w:t>
      </w:r>
      <w:r>
        <w:rPr>
          <w:rFonts w:hint="eastAsia" w:ascii="仿宋_GB2312" w:hAnsi="仿宋_GB2312" w:eastAsia="仿宋_GB2312" w:cs="仿宋_GB2312"/>
          <w:color w:val="auto"/>
          <w:kern w:val="0"/>
          <w:sz w:val="30"/>
          <w:szCs w:val="30"/>
          <w:highlight w:val="none"/>
          <w:lang w:eastAsia="zh-CN"/>
        </w:rPr>
        <w:t>。</w:t>
      </w:r>
    </w:p>
    <w:p>
      <w:pPr>
        <w:spacing w:line="560" w:lineRule="exact"/>
        <w:ind w:firstLine="600" w:firstLineChars="200"/>
        <w:rPr>
          <w:rFonts w:hint="eastAsia" w:ascii="仿宋_GB2312" w:hAnsi="仿宋_GB2312" w:eastAsia="仿宋_GB2312" w:cs="仿宋_GB2312"/>
          <w:color w:val="auto"/>
          <w:kern w:val="0"/>
          <w:sz w:val="30"/>
          <w:szCs w:val="30"/>
          <w:highlight w:val="none"/>
          <w:lang w:eastAsia="zh-CN"/>
        </w:rPr>
      </w:pPr>
      <w:r>
        <w:rPr>
          <w:rFonts w:hint="eastAsia" w:ascii="仿宋_GB2312" w:hAnsi="仿宋_GB2312" w:eastAsia="仿宋_GB2312" w:cs="仿宋_GB2312"/>
          <w:color w:val="auto"/>
          <w:sz w:val="30"/>
          <w:szCs w:val="30"/>
          <w:highlight w:val="none"/>
        </w:rPr>
        <w:t>（2）本行于2019年</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18</w:t>
      </w:r>
      <w:r>
        <w:rPr>
          <w:rFonts w:hint="eastAsia" w:ascii="仿宋_GB2312" w:hAnsi="仿宋_GB2312" w:eastAsia="仿宋_GB2312" w:cs="仿宋_GB2312"/>
          <w:color w:val="auto"/>
          <w:sz w:val="30"/>
          <w:szCs w:val="30"/>
          <w:highlight w:val="none"/>
        </w:rPr>
        <w:t>日召开第</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届监事会第</w:t>
      </w:r>
      <w:r>
        <w:rPr>
          <w:rFonts w:hint="eastAsia" w:ascii="仿宋_GB2312" w:hAnsi="仿宋_GB2312" w:eastAsia="仿宋_GB2312" w:cs="仿宋_GB2312"/>
          <w:color w:val="auto"/>
          <w:sz w:val="30"/>
          <w:szCs w:val="30"/>
          <w:highlight w:val="none"/>
          <w:lang w:eastAsia="zh-CN"/>
        </w:rPr>
        <w:t>十</w:t>
      </w:r>
      <w:r>
        <w:rPr>
          <w:rFonts w:hint="eastAsia" w:ascii="仿宋_GB2312" w:hAnsi="仿宋_GB2312" w:eastAsia="仿宋_GB2312" w:cs="仿宋_GB2312"/>
          <w:color w:val="auto"/>
          <w:sz w:val="30"/>
          <w:szCs w:val="30"/>
          <w:highlight w:val="none"/>
        </w:rPr>
        <w:t>次会议，会议审议通过了</w:t>
      </w:r>
      <w:r>
        <w:rPr>
          <w:rFonts w:hint="eastAsia" w:ascii="仿宋_GB2312" w:eastAsia="仿宋_GB2312"/>
          <w:color w:val="auto"/>
          <w:sz w:val="30"/>
          <w:szCs w:val="30"/>
          <w:highlight w:val="none"/>
        </w:rPr>
        <w:t>《宁陵德商村镇银行股份有限公司监事会关于2018年度董事履职评价的报告（草案）》</w:t>
      </w:r>
      <w:r>
        <w:rPr>
          <w:rFonts w:hint="eastAsia" w:ascii="仿宋_GB2312" w:hAnsi="仿宋_GB2312" w:eastAsia="仿宋_GB2312" w:cs="仿宋_GB2312"/>
          <w:color w:val="auto"/>
          <w:sz w:val="30"/>
          <w:szCs w:val="30"/>
          <w:highlight w:val="none"/>
        </w:rPr>
        <w:t>、</w:t>
      </w:r>
      <w:r>
        <w:rPr>
          <w:rFonts w:hint="eastAsia" w:ascii="仿宋_GB2312" w:eastAsia="仿宋_GB2312"/>
          <w:color w:val="auto"/>
          <w:sz w:val="30"/>
          <w:szCs w:val="30"/>
          <w:highlight w:val="none"/>
        </w:rPr>
        <w:t>《宁陵德商村镇银行股份有限公司监事会关于2018年高级管理人员履职评价的报告（草案）》</w:t>
      </w:r>
      <w:r>
        <w:rPr>
          <w:rFonts w:hint="eastAsia" w:ascii="仿宋_GB2312" w:hAnsi="仿宋_GB2312" w:eastAsia="仿宋_GB2312" w:cs="仿宋_GB2312"/>
          <w:color w:val="auto"/>
          <w:kern w:val="0"/>
          <w:sz w:val="30"/>
          <w:szCs w:val="30"/>
          <w:highlight w:val="none"/>
        </w:rPr>
        <w:t>、</w:t>
      </w:r>
      <w:r>
        <w:rPr>
          <w:rFonts w:hint="eastAsia" w:ascii="仿宋_GB2312" w:hAnsi="仿宋_GB2312" w:eastAsia="仿宋_GB2312" w:cs="仿宋_GB2312"/>
          <w:bCs/>
          <w:color w:val="auto"/>
          <w:sz w:val="30"/>
          <w:szCs w:val="30"/>
          <w:highlight w:val="none"/>
        </w:rPr>
        <w:t>《关于郎文华同志辞去宁陵德商村镇银行股份有限公司第二届监事会监事长和非员工监事的议案》</w:t>
      </w:r>
      <w:r>
        <w:rPr>
          <w:rFonts w:hint="eastAsia" w:ascii="仿宋_GB2312" w:hAnsi="仿宋_GB2312" w:eastAsia="仿宋_GB2312" w:cs="仿宋_GB2312"/>
          <w:bCs/>
          <w:color w:val="auto"/>
          <w:sz w:val="30"/>
          <w:szCs w:val="30"/>
          <w:highlight w:val="none"/>
          <w:lang w:eastAsia="zh-CN"/>
        </w:rPr>
        <w:t>、</w:t>
      </w:r>
      <w:r>
        <w:rPr>
          <w:rFonts w:hint="eastAsia" w:ascii="仿宋_GB2312" w:hAnsi="仿宋_GB2312" w:eastAsia="仿宋_GB2312" w:cs="仿宋_GB2312"/>
          <w:bCs/>
          <w:color w:val="auto"/>
          <w:sz w:val="30"/>
          <w:szCs w:val="30"/>
          <w:highlight w:val="none"/>
        </w:rPr>
        <w:t>《关于提名王伟芬同志为宁陵德商村镇银行股份有限公司第二届监事会非员工监事的议案》</w:t>
      </w:r>
      <w:r>
        <w:rPr>
          <w:rFonts w:hint="eastAsia" w:ascii="仿宋_GB2312" w:hAnsi="仿宋_GB2312" w:eastAsia="仿宋_GB2312" w:cs="仿宋_GB2312"/>
          <w:bCs/>
          <w:color w:val="auto"/>
          <w:sz w:val="30"/>
          <w:szCs w:val="30"/>
          <w:highlight w:val="none"/>
          <w:lang w:eastAsia="zh-CN"/>
        </w:rPr>
        <w:t>、</w:t>
      </w:r>
      <w:r>
        <w:rPr>
          <w:rFonts w:hint="eastAsia" w:ascii="仿宋_GB2312" w:hAnsi="仿宋_GB2312" w:eastAsia="仿宋_GB2312" w:cs="仿宋_GB2312"/>
          <w:bCs/>
          <w:color w:val="auto"/>
          <w:sz w:val="30"/>
          <w:szCs w:val="30"/>
          <w:highlight w:val="none"/>
        </w:rPr>
        <w:t>《关于提名段继红同志为宁陵德商村镇银行股份有限公司第二届监事会非员工监事的议案》</w:t>
      </w:r>
      <w:r>
        <w:rPr>
          <w:rFonts w:hint="eastAsia" w:ascii="仿宋_GB2312" w:hAnsi="仿宋_GB2312" w:eastAsia="仿宋_GB2312" w:cs="仿宋_GB2312"/>
          <w:color w:val="auto"/>
          <w:kern w:val="0"/>
          <w:sz w:val="30"/>
          <w:szCs w:val="30"/>
          <w:highlight w:val="none"/>
        </w:rPr>
        <w:t>等议案</w:t>
      </w:r>
      <w:r>
        <w:rPr>
          <w:rFonts w:hint="eastAsia" w:ascii="仿宋_GB2312" w:hAnsi="仿宋_GB2312" w:eastAsia="仿宋_GB2312" w:cs="仿宋_GB2312"/>
          <w:color w:val="auto"/>
          <w:kern w:val="0"/>
          <w:sz w:val="30"/>
          <w:szCs w:val="30"/>
          <w:highlight w:val="none"/>
          <w:lang w:eastAsia="zh-CN"/>
        </w:rPr>
        <w:t>。</w:t>
      </w:r>
    </w:p>
    <w:p>
      <w:pPr>
        <w:spacing w:line="560" w:lineRule="exact"/>
        <w:ind w:firstLine="600" w:firstLineChars="200"/>
        <w:rPr>
          <w:rFonts w:hint="eastAsia" w:ascii="仿宋_GB2312" w:hAnsi="仿宋_GB2312" w:eastAsia="仿宋_GB2312" w:cs="仿宋_GB2312"/>
          <w:color w:val="auto"/>
          <w:kern w:val="0"/>
          <w:sz w:val="30"/>
          <w:szCs w:val="30"/>
          <w:highlight w:val="none"/>
          <w:lang w:eastAsia="zh-CN"/>
        </w:rPr>
      </w:pP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）本行于2019年</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22</w:t>
      </w:r>
      <w:r>
        <w:rPr>
          <w:rFonts w:hint="eastAsia" w:ascii="仿宋_GB2312" w:hAnsi="仿宋_GB2312" w:eastAsia="仿宋_GB2312" w:cs="仿宋_GB2312"/>
          <w:color w:val="auto"/>
          <w:sz w:val="30"/>
          <w:szCs w:val="30"/>
          <w:highlight w:val="none"/>
        </w:rPr>
        <w:t>日召开第二届监事会2019年第一次临时会议，会议审议通过了</w:t>
      </w:r>
      <w:r>
        <w:rPr>
          <w:rFonts w:hint="eastAsia" w:ascii="仿宋_GB2312" w:eastAsia="仿宋_GB2312"/>
          <w:bCs/>
          <w:color w:val="auto"/>
          <w:sz w:val="30"/>
          <w:szCs w:val="30"/>
          <w:highlight w:val="none"/>
        </w:rPr>
        <w:t>《宁陵德商村镇银行股份有限公司监事长候选人》</w:t>
      </w:r>
      <w:r>
        <w:rPr>
          <w:rFonts w:hint="eastAsia" w:ascii="仿宋_GB2312" w:eastAsia="仿宋_GB2312"/>
          <w:bCs/>
          <w:color w:val="auto"/>
          <w:sz w:val="30"/>
          <w:szCs w:val="30"/>
          <w:highlight w:val="none"/>
          <w:lang w:eastAsia="zh-CN"/>
        </w:rPr>
        <w:t>共</w:t>
      </w:r>
      <w:r>
        <w:rPr>
          <w:rFonts w:hint="eastAsia" w:ascii="仿宋_GB2312" w:eastAsia="仿宋_GB2312"/>
          <w:bCs/>
          <w:color w:val="auto"/>
          <w:sz w:val="30"/>
          <w:szCs w:val="30"/>
          <w:highlight w:val="none"/>
          <w:lang w:val="en-US" w:eastAsia="zh-CN"/>
        </w:rPr>
        <w:t>1项</w:t>
      </w:r>
      <w:r>
        <w:rPr>
          <w:rFonts w:hint="eastAsia" w:ascii="仿宋_GB2312" w:hAnsi="仿宋_GB2312" w:eastAsia="仿宋_GB2312" w:cs="仿宋_GB2312"/>
          <w:color w:val="auto"/>
          <w:kern w:val="0"/>
          <w:sz w:val="30"/>
          <w:szCs w:val="30"/>
          <w:highlight w:val="none"/>
        </w:rPr>
        <w:t>议案</w:t>
      </w:r>
      <w:r>
        <w:rPr>
          <w:rFonts w:hint="eastAsia" w:ascii="仿宋_GB2312" w:hAnsi="仿宋_GB2312" w:eastAsia="仿宋_GB2312" w:cs="仿宋_GB2312"/>
          <w:color w:val="auto"/>
          <w:kern w:val="0"/>
          <w:sz w:val="30"/>
          <w:szCs w:val="30"/>
          <w:highlight w:val="none"/>
          <w:lang w:eastAsia="zh-CN"/>
        </w:rPr>
        <w:t>。</w:t>
      </w:r>
    </w:p>
    <w:p>
      <w:pPr>
        <w:spacing w:line="560" w:lineRule="exact"/>
        <w:ind w:firstLine="600" w:firstLineChars="200"/>
        <w:rPr>
          <w:rFonts w:hint="eastAsia" w:ascii="仿宋_GB2312" w:hAnsi="仿宋_GB2312" w:eastAsia="仿宋_GB2312" w:cs="仿宋_GB2312"/>
          <w:color w:val="auto"/>
          <w:kern w:val="0"/>
          <w:sz w:val="30"/>
          <w:szCs w:val="30"/>
          <w:highlight w:val="none"/>
          <w:lang w:eastAsia="zh-CN"/>
        </w:rPr>
      </w:pP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）本行于2019年</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8</w:t>
      </w:r>
      <w:r>
        <w:rPr>
          <w:rFonts w:hint="eastAsia" w:ascii="仿宋_GB2312" w:hAnsi="仿宋_GB2312" w:eastAsia="仿宋_GB2312" w:cs="仿宋_GB2312"/>
          <w:color w:val="auto"/>
          <w:sz w:val="30"/>
          <w:szCs w:val="30"/>
          <w:highlight w:val="none"/>
        </w:rPr>
        <w:t>日召开第</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届监事会第</w:t>
      </w:r>
      <w:r>
        <w:rPr>
          <w:rFonts w:hint="eastAsia" w:ascii="仿宋_GB2312" w:hAnsi="仿宋_GB2312" w:eastAsia="仿宋_GB2312" w:cs="仿宋_GB2312"/>
          <w:color w:val="auto"/>
          <w:sz w:val="30"/>
          <w:szCs w:val="30"/>
          <w:highlight w:val="none"/>
          <w:lang w:eastAsia="zh-CN"/>
        </w:rPr>
        <w:t>十一</w:t>
      </w:r>
      <w:r>
        <w:rPr>
          <w:rFonts w:hint="eastAsia" w:ascii="仿宋_GB2312" w:hAnsi="仿宋_GB2312" w:eastAsia="仿宋_GB2312" w:cs="仿宋_GB2312"/>
          <w:color w:val="auto"/>
          <w:sz w:val="30"/>
          <w:szCs w:val="30"/>
          <w:highlight w:val="none"/>
        </w:rPr>
        <w:t>次会议，会议审议通过了《宁陵德商村镇银行股份有限公司2019年半年度监事会工作报告（草案）》</w:t>
      </w:r>
      <w:r>
        <w:rPr>
          <w:rFonts w:hint="eastAsia" w:ascii="仿宋_GB2312" w:eastAsia="仿宋_GB2312"/>
          <w:bCs/>
          <w:color w:val="auto"/>
          <w:sz w:val="30"/>
          <w:szCs w:val="30"/>
          <w:highlight w:val="none"/>
          <w:lang w:eastAsia="zh-CN"/>
        </w:rPr>
        <w:t>共</w:t>
      </w:r>
      <w:r>
        <w:rPr>
          <w:rFonts w:hint="eastAsia" w:ascii="仿宋_GB2312" w:eastAsia="仿宋_GB2312"/>
          <w:bCs/>
          <w:color w:val="auto"/>
          <w:sz w:val="30"/>
          <w:szCs w:val="30"/>
          <w:highlight w:val="none"/>
          <w:lang w:val="en-US" w:eastAsia="zh-CN"/>
        </w:rPr>
        <w:t>1项</w:t>
      </w:r>
      <w:r>
        <w:rPr>
          <w:rFonts w:hint="eastAsia" w:ascii="仿宋_GB2312" w:hAnsi="仿宋_GB2312" w:eastAsia="仿宋_GB2312" w:cs="仿宋_GB2312"/>
          <w:color w:val="auto"/>
          <w:kern w:val="0"/>
          <w:sz w:val="30"/>
          <w:szCs w:val="30"/>
          <w:highlight w:val="none"/>
        </w:rPr>
        <w:t>议案</w:t>
      </w:r>
      <w:r>
        <w:rPr>
          <w:rFonts w:hint="eastAsia" w:ascii="仿宋_GB2312" w:hAnsi="仿宋_GB2312" w:eastAsia="仿宋_GB2312" w:cs="仿宋_GB2312"/>
          <w:color w:val="auto"/>
          <w:kern w:val="0"/>
          <w:sz w:val="30"/>
          <w:szCs w:val="30"/>
          <w:highlight w:val="none"/>
          <w:lang w:eastAsia="zh-CN"/>
        </w:rPr>
        <w:t>。</w:t>
      </w:r>
    </w:p>
    <w:p>
      <w:pPr>
        <w:spacing w:line="560" w:lineRule="exact"/>
        <w:ind w:firstLine="600" w:firstLineChars="200"/>
        <w:rPr>
          <w:rFonts w:hint="eastAsia" w:ascii="仿宋_GB2312" w:hAnsi="仿宋_GB2312" w:eastAsia="仿宋_GB2312" w:cs="仿宋_GB2312"/>
          <w:color w:val="auto"/>
          <w:kern w:val="0"/>
          <w:sz w:val="30"/>
          <w:szCs w:val="30"/>
          <w:highlight w:val="none"/>
          <w:lang w:eastAsia="zh-CN"/>
        </w:rPr>
      </w:pP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rPr>
        <w:t>）本行于2019年</w:t>
      </w:r>
      <w:r>
        <w:rPr>
          <w:rFonts w:hint="eastAsia" w:ascii="仿宋_GB2312" w:hAnsi="仿宋_GB2312" w:eastAsia="仿宋_GB2312" w:cs="仿宋_GB2312"/>
          <w:color w:val="auto"/>
          <w:sz w:val="30"/>
          <w:szCs w:val="30"/>
          <w:highlight w:val="none"/>
          <w:lang w:val="en-US" w:eastAsia="zh-CN"/>
        </w:rPr>
        <w:t>11</w:t>
      </w:r>
      <w:r>
        <w:rPr>
          <w:rFonts w:hint="eastAsia" w:ascii="仿宋_GB2312" w:hAnsi="仿宋_GB2312" w:eastAsia="仿宋_GB2312" w:cs="仿宋_GB2312"/>
          <w:color w:val="auto"/>
          <w:sz w:val="30"/>
          <w:szCs w:val="30"/>
          <w:highlight w:val="none"/>
        </w:rPr>
        <w:t>月</w:t>
      </w:r>
      <w:r>
        <w:rPr>
          <w:rFonts w:hint="eastAsia" w:ascii="仿宋_GB2312" w:hAnsi="仿宋_GB2312" w:eastAsia="仿宋_GB2312" w:cs="仿宋_GB2312"/>
          <w:color w:val="auto"/>
          <w:sz w:val="30"/>
          <w:szCs w:val="30"/>
          <w:highlight w:val="none"/>
          <w:lang w:val="en-US" w:eastAsia="zh-CN"/>
        </w:rPr>
        <w:t>20</w:t>
      </w:r>
      <w:r>
        <w:rPr>
          <w:rFonts w:hint="eastAsia" w:ascii="仿宋_GB2312" w:hAnsi="仿宋_GB2312" w:eastAsia="仿宋_GB2312" w:cs="仿宋_GB2312"/>
          <w:color w:val="auto"/>
          <w:sz w:val="30"/>
          <w:szCs w:val="30"/>
          <w:highlight w:val="none"/>
        </w:rPr>
        <w:t>日召开第</w:t>
      </w:r>
      <w:r>
        <w:rPr>
          <w:rFonts w:hint="eastAsia" w:ascii="仿宋_GB2312" w:hAnsi="仿宋_GB2312" w:eastAsia="仿宋_GB2312" w:cs="仿宋_GB2312"/>
          <w:color w:val="auto"/>
          <w:sz w:val="30"/>
          <w:szCs w:val="30"/>
          <w:highlight w:val="none"/>
          <w:lang w:eastAsia="zh-CN"/>
        </w:rPr>
        <w:t>二</w:t>
      </w:r>
      <w:r>
        <w:rPr>
          <w:rFonts w:hint="eastAsia" w:ascii="仿宋_GB2312" w:hAnsi="仿宋_GB2312" w:eastAsia="仿宋_GB2312" w:cs="仿宋_GB2312"/>
          <w:color w:val="auto"/>
          <w:sz w:val="30"/>
          <w:szCs w:val="30"/>
          <w:highlight w:val="none"/>
        </w:rPr>
        <w:t>届监事会第</w:t>
      </w:r>
      <w:r>
        <w:rPr>
          <w:rFonts w:hint="eastAsia" w:ascii="仿宋_GB2312" w:hAnsi="仿宋_GB2312" w:eastAsia="仿宋_GB2312" w:cs="仿宋_GB2312"/>
          <w:color w:val="auto"/>
          <w:sz w:val="30"/>
          <w:szCs w:val="30"/>
          <w:highlight w:val="none"/>
          <w:lang w:eastAsia="zh-CN"/>
        </w:rPr>
        <w:t>十二</w:t>
      </w:r>
      <w:r>
        <w:rPr>
          <w:rFonts w:hint="eastAsia" w:ascii="仿宋_GB2312" w:hAnsi="仿宋_GB2312" w:eastAsia="仿宋_GB2312" w:cs="仿宋_GB2312"/>
          <w:color w:val="auto"/>
          <w:sz w:val="30"/>
          <w:szCs w:val="30"/>
          <w:highlight w:val="none"/>
        </w:rPr>
        <w:t>次会议，会议审议通过了</w:t>
      </w:r>
      <w:r>
        <w:rPr>
          <w:rFonts w:hint="eastAsia" w:ascii="仿宋_GB2312" w:hAnsi="仿宋_GB2312" w:eastAsia="仿宋_GB2312" w:cs="仿宋_GB2312"/>
          <w:color w:val="auto"/>
          <w:kern w:val="0"/>
          <w:sz w:val="30"/>
          <w:szCs w:val="30"/>
          <w:highlight w:val="none"/>
          <w:lang w:eastAsia="zh-CN"/>
        </w:rPr>
        <w:t>《宁陵德商村镇银行股份有限公司2019年前三季度监事会工作报告（草案）》、审议《宁陵德商村镇银行股份有限公司监事会对董事、监事和高管人员履职评价办法（修改草案）》、审议《宁陵德商村镇银行股份有限公司监事会对董事、监事和高管人员履职评价实施细则（修改草案）》等议案。</w:t>
      </w:r>
    </w:p>
    <w:p>
      <w:pPr>
        <w:spacing w:line="560" w:lineRule="exact"/>
        <w:ind w:firstLine="602" w:firstLineChars="200"/>
        <w:rPr>
          <w:rFonts w:hint="eastAsia" w:ascii="仿宋_GB2312" w:hAnsi="仿宋_GB2312" w:eastAsia="仿宋_GB2312" w:cs="仿宋_GB2312"/>
          <w:b/>
          <w:bCs/>
          <w:color w:val="auto"/>
          <w:kern w:val="0"/>
          <w:sz w:val="30"/>
          <w:szCs w:val="30"/>
          <w:highlight w:val="none"/>
        </w:rPr>
      </w:pPr>
      <w:r>
        <w:rPr>
          <w:rFonts w:hint="eastAsia" w:ascii="仿宋_GB2312" w:hAnsi="仿宋_GB2312" w:eastAsia="仿宋_GB2312" w:cs="仿宋_GB2312"/>
          <w:b/>
          <w:bCs/>
          <w:color w:val="auto"/>
          <w:kern w:val="0"/>
          <w:sz w:val="30"/>
          <w:szCs w:val="30"/>
          <w:highlight w:val="none"/>
        </w:rPr>
        <w:t>2</w:t>
      </w:r>
      <w:r>
        <w:rPr>
          <w:rFonts w:hint="eastAsia" w:ascii="仿宋_GB2312" w:hAnsi="仿宋_GB2312" w:eastAsia="仿宋_GB2312" w:cs="仿宋_GB2312"/>
          <w:b/>
          <w:bCs/>
          <w:color w:val="auto"/>
          <w:kern w:val="0"/>
          <w:sz w:val="30"/>
          <w:szCs w:val="30"/>
          <w:highlight w:val="none"/>
          <w:lang w:val="en-US" w:eastAsia="zh-CN"/>
        </w:rPr>
        <w:t>.</w:t>
      </w:r>
      <w:r>
        <w:rPr>
          <w:rFonts w:hint="eastAsia" w:ascii="仿宋_GB2312" w:hAnsi="仿宋_GB2312" w:eastAsia="仿宋_GB2312" w:cs="仿宋_GB2312"/>
          <w:b/>
          <w:bCs/>
          <w:color w:val="auto"/>
          <w:kern w:val="0"/>
          <w:sz w:val="30"/>
          <w:szCs w:val="30"/>
          <w:highlight w:val="none"/>
        </w:rPr>
        <w:t>监事会发表的独立意见</w:t>
      </w:r>
    </w:p>
    <w:p>
      <w:pPr>
        <w:spacing w:line="56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报告期内，为维护股东和员工的利益，监事会根据《公司法》及本行章程有关规定，对董事、高级管理层人员履职情况进行了监督。具体情况如下：</w:t>
      </w:r>
    </w:p>
    <w:p>
      <w:pPr>
        <w:spacing w:line="560" w:lineRule="exact"/>
        <w:ind w:firstLine="602" w:firstLineChars="200"/>
        <w:rPr>
          <w:rFonts w:hint="eastAsia" w:ascii="仿宋_GB2312" w:hAnsi="仿宋_GB2312" w:eastAsia="仿宋_GB2312" w:cs="仿宋_GB2312"/>
          <w:b/>
          <w:bCs/>
          <w:color w:val="auto"/>
          <w:kern w:val="0"/>
          <w:sz w:val="30"/>
          <w:szCs w:val="30"/>
          <w:highlight w:val="none"/>
        </w:rPr>
      </w:pPr>
      <w:r>
        <w:rPr>
          <w:rFonts w:hint="eastAsia" w:ascii="仿宋_GB2312" w:hAnsi="仿宋_GB2312" w:eastAsia="仿宋_GB2312" w:cs="仿宋_GB2312"/>
          <w:b/>
          <w:bCs/>
          <w:color w:val="auto"/>
          <w:kern w:val="0"/>
          <w:sz w:val="30"/>
          <w:szCs w:val="30"/>
          <w:highlight w:val="none"/>
        </w:rPr>
        <w:t>（1）监督本行依法经营情况</w:t>
      </w:r>
    </w:p>
    <w:p>
      <w:pPr>
        <w:spacing w:line="56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报告期内，</w:t>
      </w:r>
      <w:r>
        <w:rPr>
          <w:rFonts w:hint="eastAsia" w:ascii="仿宋_GB2312" w:hAnsi="仿宋_GB2312" w:eastAsia="仿宋_GB2312" w:cs="仿宋_GB2312"/>
          <w:color w:val="auto"/>
          <w:kern w:val="0"/>
          <w:sz w:val="30"/>
          <w:szCs w:val="30"/>
          <w:highlight w:val="none"/>
          <w:lang w:eastAsia="zh-CN"/>
        </w:rPr>
        <w:t>宁陵</w:t>
      </w:r>
      <w:r>
        <w:rPr>
          <w:rFonts w:hint="eastAsia" w:ascii="仿宋_GB2312" w:hAnsi="仿宋_GB2312" w:eastAsia="仿宋_GB2312" w:cs="仿宋_GB2312"/>
          <w:color w:val="auto"/>
          <w:kern w:val="0"/>
          <w:sz w:val="30"/>
          <w:szCs w:val="30"/>
          <w:highlight w:val="none"/>
        </w:rPr>
        <w:t>德商村镇银行依法经营，规范管理，经营业绩客观真实，决策程序合法有效，没有发现董事、经营管理层在履行职责时有违反法律、法规、本行章程或损害股东利益的行为。</w:t>
      </w:r>
    </w:p>
    <w:p>
      <w:pPr>
        <w:spacing w:line="560" w:lineRule="exact"/>
        <w:ind w:firstLine="602"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b/>
          <w:bCs/>
          <w:color w:val="auto"/>
          <w:kern w:val="0"/>
          <w:sz w:val="30"/>
          <w:szCs w:val="30"/>
          <w:highlight w:val="none"/>
        </w:rPr>
        <w:t>（</w:t>
      </w:r>
      <w:r>
        <w:rPr>
          <w:rFonts w:hint="eastAsia" w:ascii="仿宋_GB2312" w:hAnsi="仿宋_GB2312" w:eastAsia="仿宋_GB2312" w:cs="仿宋_GB2312"/>
          <w:b/>
          <w:bCs/>
          <w:color w:val="auto"/>
          <w:kern w:val="0"/>
          <w:sz w:val="30"/>
          <w:szCs w:val="30"/>
          <w:highlight w:val="none"/>
          <w:lang w:val="en-US" w:eastAsia="zh-CN"/>
        </w:rPr>
        <w:t>2</w:t>
      </w:r>
      <w:r>
        <w:rPr>
          <w:rFonts w:hint="eastAsia" w:ascii="仿宋_GB2312" w:hAnsi="仿宋_GB2312" w:eastAsia="仿宋_GB2312" w:cs="仿宋_GB2312"/>
          <w:b/>
          <w:bCs/>
          <w:color w:val="auto"/>
          <w:kern w:val="0"/>
          <w:sz w:val="30"/>
          <w:szCs w:val="30"/>
          <w:highlight w:val="none"/>
        </w:rPr>
        <w:t>）股东大会决议执行情况</w:t>
      </w:r>
    </w:p>
    <w:p>
      <w:pPr>
        <w:spacing w:line="56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报告期内，监事会对董事会提交股东大会审议的各类报告和提案没有异议，认为董事会认真履行了股东大会的有关决议。</w:t>
      </w:r>
    </w:p>
    <w:p>
      <w:pPr>
        <w:spacing w:line="560" w:lineRule="exact"/>
        <w:ind w:firstLine="600" w:firstLineChars="200"/>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四、经营管理层成员构成及其工作情况</w:t>
      </w:r>
    </w:p>
    <w:p>
      <w:pPr>
        <w:spacing w:line="360" w:lineRule="exact"/>
        <w:ind w:firstLine="602" w:firstLineChars="200"/>
        <w:rPr>
          <w:rFonts w:hint="eastAsia" w:ascii="楷体" w:hAnsi="楷体" w:eastAsia="楷体" w:cs="楷体"/>
          <w:b/>
          <w:bCs/>
          <w:color w:val="000000"/>
          <w:kern w:val="0"/>
          <w:sz w:val="30"/>
          <w:szCs w:val="30"/>
        </w:rPr>
      </w:pPr>
      <w:r>
        <w:rPr>
          <w:rFonts w:hint="eastAsia" w:ascii="楷体" w:hAnsi="楷体" w:eastAsia="楷体" w:cs="楷体"/>
          <w:b/>
          <w:bCs/>
          <w:color w:val="000000"/>
          <w:kern w:val="0"/>
          <w:sz w:val="30"/>
          <w:szCs w:val="30"/>
        </w:rPr>
        <w:t>（</w:t>
      </w:r>
      <w:r>
        <w:rPr>
          <w:rFonts w:hint="eastAsia" w:ascii="楷体" w:hAnsi="楷体" w:eastAsia="楷体" w:cs="楷体"/>
          <w:b/>
          <w:bCs/>
          <w:color w:val="000000"/>
          <w:kern w:val="0"/>
          <w:sz w:val="30"/>
          <w:szCs w:val="30"/>
          <w:lang w:eastAsia="zh-CN"/>
        </w:rPr>
        <w:t>一</w:t>
      </w:r>
      <w:r>
        <w:rPr>
          <w:rFonts w:hint="eastAsia" w:ascii="楷体" w:hAnsi="楷体" w:eastAsia="楷体" w:cs="楷体"/>
          <w:b/>
          <w:bCs/>
          <w:color w:val="000000"/>
          <w:kern w:val="0"/>
          <w:sz w:val="30"/>
          <w:szCs w:val="30"/>
        </w:rPr>
        <w:t>）高级管理人员</w:t>
      </w:r>
    </w:p>
    <w:tbl>
      <w:tblPr>
        <w:tblStyle w:val="2"/>
        <w:tblW w:w="9206" w:type="dxa"/>
        <w:tblCellSpacing w:w="0" w:type="dxa"/>
        <w:tblInd w:w="2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1"/>
        <w:gridCol w:w="796"/>
        <w:gridCol w:w="502"/>
        <w:gridCol w:w="808"/>
        <w:gridCol w:w="604"/>
        <w:gridCol w:w="4803"/>
        <w:gridCol w:w="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3" w:hRule="atLeast"/>
          <w:tblCellSpacing w:w="0" w:type="dxa"/>
        </w:trPr>
        <w:tc>
          <w:tcPr>
            <w:tcW w:w="701"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职务</w:t>
            </w:r>
          </w:p>
        </w:tc>
        <w:tc>
          <w:tcPr>
            <w:tcW w:w="796"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姓名</w:t>
            </w:r>
          </w:p>
        </w:tc>
        <w:tc>
          <w:tcPr>
            <w:tcW w:w="50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性别</w:t>
            </w:r>
          </w:p>
        </w:tc>
        <w:tc>
          <w:tcPr>
            <w:tcW w:w="808"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出生年月</w:t>
            </w:r>
          </w:p>
        </w:tc>
        <w:tc>
          <w:tcPr>
            <w:tcW w:w="604"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学历</w:t>
            </w:r>
          </w:p>
        </w:tc>
        <w:tc>
          <w:tcPr>
            <w:tcW w:w="4803"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责任分工</w:t>
            </w:r>
          </w:p>
        </w:tc>
        <w:tc>
          <w:tcPr>
            <w:tcW w:w="992"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持有股份（股）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47" w:hRule="atLeast"/>
          <w:tblCellSpacing w:w="0" w:type="dxa"/>
        </w:trPr>
        <w:tc>
          <w:tcPr>
            <w:tcW w:w="701" w:type="dxa"/>
            <w:tcBorders>
              <w:top w:val="outset" w:color="auto" w:sz="6" w:space="0"/>
              <w:left w:val="outset" w:color="auto" w:sz="6" w:space="0"/>
              <w:bottom w:val="outset" w:color="auto" w:sz="6" w:space="0"/>
              <w:right w:val="outset" w:color="auto" w:sz="6" w:space="0"/>
            </w:tcBorders>
            <w:noWrap w:val="0"/>
            <w:vAlign w:val="center"/>
          </w:tcPr>
          <w:p>
            <w:pPr>
              <w:spacing w:line="360" w:lineRule="exact"/>
              <w:ind w:firstLine="90" w:firstLineChars="50"/>
              <w:jc w:val="center"/>
              <w:rPr>
                <w:rFonts w:ascii="宋体" w:hAnsi="宋体" w:cs="宋体"/>
                <w:color w:val="000000"/>
                <w:sz w:val="18"/>
                <w:szCs w:val="18"/>
              </w:rPr>
            </w:pPr>
            <w:r>
              <w:rPr>
                <w:rFonts w:hint="eastAsia" w:ascii="宋体" w:hAnsi="宋体" w:cs="宋体"/>
                <w:color w:val="000000"/>
                <w:sz w:val="18"/>
                <w:szCs w:val="18"/>
              </w:rPr>
              <w:t>行长</w:t>
            </w:r>
          </w:p>
        </w:tc>
        <w:tc>
          <w:tcPr>
            <w:tcW w:w="796"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sz w:val="18"/>
                <w:szCs w:val="18"/>
                <w:highlight w:val="none"/>
              </w:rPr>
              <w:t>乔翠莲</w:t>
            </w:r>
          </w:p>
        </w:tc>
        <w:tc>
          <w:tcPr>
            <w:tcW w:w="502"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sz w:val="18"/>
                <w:szCs w:val="18"/>
              </w:rPr>
            </w:pPr>
            <w:r>
              <w:rPr>
                <w:rFonts w:hint="eastAsia" w:ascii="宋体" w:hAnsi="宋体" w:eastAsia="宋体" w:cs="宋体"/>
                <w:color w:val="auto"/>
                <w:sz w:val="18"/>
                <w:szCs w:val="18"/>
                <w:highlight w:val="none"/>
              </w:rPr>
              <w:t>女</w:t>
            </w:r>
          </w:p>
        </w:tc>
        <w:tc>
          <w:tcPr>
            <w:tcW w:w="808"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1971.08</w:t>
            </w:r>
          </w:p>
        </w:tc>
        <w:tc>
          <w:tcPr>
            <w:tcW w:w="604" w:type="dxa"/>
            <w:tcBorders>
              <w:top w:val="outset" w:color="auto" w:sz="6" w:space="0"/>
              <w:left w:val="outset" w:color="auto" w:sz="6" w:space="0"/>
              <w:bottom w:val="outset" w:color="auto" w:sz="6" w:space="0"/>
              <w:right w:val="outset" w:color="auto" w:sz="6" w:space="0"/>
            </w:tcBorders>
            <w:noWrap w:val="0"/>
            <w:vAlign w:val="center"/>
          </w:tcPr>
          <w:p>
            <w:pPr>
              <w:spacing w:line="440" w:lineRule="exact"/>
              <w:jc w:val="center"/>
              <w:rPr>
                <w:rFonts w:ascii="宋体" w:hAnsi="宋体" w:cs="宋体"/>
                <w:color w:val="000000"/>
                <w:kern w:val="0"/>
                <w:sz w:val="18"/>
                <w:szCs w:val="18"/>
              </w:rPr>
            </w:pPr>
            <w:r>
              <w:rPr>
                <w:rFonts w:hint="eastAsia" w:ascii="宋体" w:hAnsi="宋体" w:eastAsia="宋体" w:cs="宋体"/>
                <w:color w:val="auto"/>
                <w:kern w:val="0"/>
                <w:sz w:val="18"/>
                <w:szCs w:val="18"/>
                <w:highlight w:val="none"/>
              </w:rPr>
              <w:t>本科</w:t>
            </w:r>
          </w:p>
        </w:tc>
        <w:tc>
          <w:tcPr>
            <w:tcW w:w="4803"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left"/>
              <w:rPr>
                <w:rFonts w:ascii="宋体" w:hAnsi="宋体" w:cs="宋体"/>
                <w:color w:val="auto"/>
                <w:kern w:val="0"/>
                <w:sz w:val="18"/>
                <w:szCs w:val="18"/>
              </w:rPr>
            </w:pPr>
            <w:r>
              <w:rPr>
                <w:rFonts w:hint="eastAsia" w:ascii="宋体" w:hAnsi="宋体" w:cs="宋体"/>
                <w:color w:val="auto"/>
                <w:kern w:val="0"/>
                <w:sz w:val="18"/>
                <w:szCs w:val="18"/>
              </w:rPr>
              <w:t>主持全行性日常经营管理工作，分管行务办公室，安保科技，财会条线等工作；协助董事长做好人事管理工作。联系</w:t>
            </w:r>
            <w:r>
              <w:rPr>
                <w:rFonts w:hint="eastAsia" w:ascii="宋体" w:hAnsi="宋体" w:cs="宋体"/>
                <w:color w:val="auto"/>
                <w:kern w:val="0"/>
                <w:sz w:val="18"/>
                <w:szCs w:val="18"/>
                <w:lang w:eastAsia="zh-CN"/>
              </w:rPr>
              <w:t>柳河支行</w:t>
            </w:r>
            <w:r>
              <w:rPr>
                <w:rFonts w:hint="eastAsia" w:ascii="宋体" w:hAnsi="宋体" w:cs="宋体"/>
                <w:color w:val="auto"/>
                <w:kern w:val="0"/>
                <w:sz w:val="18"/>
                <w:szCs w:val="18"/>
              </w:rPr>
              <w:t>。</w:t>
            </w:r>
          </w:p>
        </w:tc>
        <w:tc>
          <w:tcPr>
            <w:tcW w:w="992"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2" w:hRule="atLeast"/>
          <w:tblCellSpacing w:w="0" w:type="dxa"/>
        </w:trPr>
        <w:tc>
          <w:tcPr>
            <w:tcW w:w="701" w:type="dxa"/>
            <w:tcBorders>
              <w:top w:val="outset" w:color="auto" w:sz="6" w:space="0"/>
              <w:left w:val="outset" w:color="auto" w:sz="6" w:space="0"/>
              <w:bottom w:val="outset" w:color="auto" w:sz="6" w:space="0"/>
              <w:right w:val="outset" w:color="auto" w:sz="6" w:space="0"/>
            </w:tcBorders>
            <w:noWrap w:val="0"/>
            <w:vAlign w:val="center"/>
          </w:tcPr>
          <w:p>
            <w:pPr>
              <w:spacing w:line="360" w:lineRule="exact"/>
              <w:ind w:firstLine="90" w:firstLineChars="50"/>
              <w:jc w:val="center"/>
              <w:rPr>
                <w:rFonts w:ascii="宋体" w:hAnsi="宋体" w:cs="宋体"/>
                <w:color w:val="000000"/>
                <w:sz w:val="18"/>
                <w:szCs w:val="18"/>
              </w:rPr>
            </w:pPr>
            <w:r>
              <w:rPr>
                <w:rFonts w:hint="eastAsia" w:ascii="宋体" w:hAnsi="宋体" w:cs="宋体"/>
                <w:color w:val="000000"/>
                <w:sz w:val="18"/>
                <w:szCs w:val="18"/>
              </w:rPr>
              <w:t>副行长</w:t>
            </w:r>
          </w:p>
        </w:tc>
        <w:tc>
          <w:tcPr>
            <w:tcW w:w="796"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赵苹</w:t>
            </w:r>
          </w:p>
        </w:tc>
        <w:tc>
          <w:tcPr>
            <w:tcW w:w="502"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女</w:t>
            </w:r>
          </w:p>
        </w:tc>
        <w:tc>
          <w:tcPr>
            <w:tcW w:w="808"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1976</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05</w:t>
            </w:r>
          </w:p>
        </w:tc>
        <w:tc>
          <w:tcPr>
            <w:tcW w:w="604"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本科</w:t>
            </w:r>
          </w:p>
        </w:tc>
        <w:tc>
          <w:tcPr>
            <w:tcW w:w="4803"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left"/>
              <w:rPr>
                <w:rFonts w:ascii="宋体" w:hAnsi="宋体" w:cs="宋体"/>
                <w:color w:val="auto"/>
                <w:kern w:val="0"/>
                <w:sz w:val="18"/>
                <w:szCs w:val="18"/>
              </w:rPr>
            </w:pPr>
            <w:r>
              <w:rPr>
                <w:rFonts w:hint="eastAsia" w:ascii="宋体" w:hAnsi="宋体" w:cs="宋体"/>
                <w:color w:val="auto"/>
                <w:kern w:val="0"/>
                <w:sz w:val="18"/>
                <w:szCs w:val="18"/>
              </w:rPr>
              <w:t>分管业务发展（目标任务）、普惠金融、银行卡业务、征信管理、柜员管理（绩效考核）、客户经理管理（绩效考核）、扶贫等工作。</w:t>
            </w:r>
            <w:r>
              <w:rPr>
                <w:rFonts w:hint="eastAsia" w:ascii="宋体" w:hAnsi="宋体" w:cs="宋体"/>
                <w:color w:val="auto"/>
                <w:kern w:val="0"/>
                <w:sz w:val="18"/>
                <w:szCs w:val="18"/>
                <w:lang w:eastAsia="zh-CN"/>
              </w:rPr>
              <w:t>分管</w:t>
            </w:r>
            <w:r>
              <w:rPr>
                <w:rFonts w:hint="eastAsia" w:ascii="宋体" w:hAnsi="宋体" w:cs="宋体"/>
                <w:color w:val="auto"/>
                <w:kern w:val="0"/>
                <w:sz w:val="18"/>
                <w:szCs w:val="18"/>
              </w:rPr>
              <w:t>业务管理部</w:t>
            </w:r>
            <w:r>
              <w:rPr>
                <w:rFonts w:hint="eastAsia" w:ascii="宋体" w:hAnsi="宋体" w:cs="宋体"/>
                <w:color w:val="auto"/>
                <w:kern w:val="0"/>
                <w:sz w:val="18"/>
                <w:szCs w:val="18"/>
                <w:lang w:eastAsia="zh-CN"/>
              </w:rPr>
              <w:t>，联系石桥支行</w:t>
            </w:r>
            <w:r>
              <w:rPr>
                <w:rFonts w:hint="eastAsia" w:ascii="宋体" w:hAnsi="宋体" w:cs="宋体"/>
                <w:color w:val="auto"/>
                <w:kern w:val="0"/>
                <w:sz w:val="18"/>
                <w:szCs w:val="18"/>
              </w:rPr>
              <w:t>。</w:t>
            </w:r>
          </w:p>
        </w:tc>
        <w:tc>
          <w:tcPr>
            <w:tcW w:w="992"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92" w:hRule="atLeast"/>
          <w:tblCellSpacing w:w="0" w:type="dxa"/>
        </w:trPr>
        <w:tc>
          <w:tcPr>
            <w:tcW w:w="701"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行长</w:t>
            </w:r>
          </w:p>
          <w:p>
            <w:pPr>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助理</w:t>
            </w:r>
          </w:p>
        </w:tc>
        <w:tc>
          <w:tcPr>
            <w:tcW w:w="796"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沈炜锋</w:t>
            </w:r>
          </w:p>
        </w:tc>
        <w:tc>
          <w:tcPr>
            <w:tcW w:w="502"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男</w:t>
            </w:r>
          </w:p>
        </w:tc>
        <w:tc>
          <w:tcPr>
            <w:tcW w:w="808"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1979.04</w:t>
            </w:r>
          </w:p>
        </w:tc>
        <w:tc>
          <w:tcPr>
            <w:tcW w:w="604"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本科</w:t>
            </w:r>
          </w:p>
        </w:tc>
        <w:tc>
          <w:tcPr>
            <w:tcW w:w="4803"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left"/>
              <w:rPr>
                <w:rFonts w:ascii="宋体" w:hAnsi="宋体" w:cs="宋体"/>
                <w:color w:val="auto"/>
                <w:kern w:val="0"/>
                <w:sz w:val="18"/>
                <w:szCs w:val="18"/>
              </w:rPr>
            </w:pPr>
            <w:r>
              <w:rPr>
                <w:rFonts w:hint="eastAsia" w:ascii="宋体" w:hAnsi="宋体" w:cs="宋体"/>
                <w:color w:val="auto"/>
                <w:kern w:val="0"/>
                <w:sz w:val="18"/>
                <w:szCs w:val="18"/>
                <w:highlight w:val="none"/>
              </w:rPr>
              <w:t>分管合规风险、反洗钱、后勤保障</w:t>
            </w:r>
            <w:r>
              <w:rPr>
                <w:rFonts w:hint="eastAsia" w:ascii="宋体" w:hAnsi="宋体" w:cs="宋体"/>
                <w:color w:val="auto"/>
                <w:kern w:val="0"/>
                <w:sz w:val="18"/>
                <w:szCs w:val="18"/>
                <w:highlight w:val="none"/>
                <w:lang w:eastAsia="zh-CN"/>
              </w:rPr>
              <w:t>、纪检监察</w:t>
            </w:r>
            <w:r>
              <w:rPr>
                <w:rFonts w:hint="eastAsia" w:ascii="宋体" w:hAnsi="宋体" w:cs="宋体"/>
                <w:color w:val="auto"/>
                <w:kern w:val="0"/>
                <w:sz w:val="18"/>
                <w:szCs w:val="18"/>
                <w:highlight w:val="none"/>
              </w:rPr>
              <w:t>等工作；协助董事长做好审计工作，协助行长做好基建管理工作。</w:t>
            </w:r>
            <w:r>
              <w:rPr>
                <w:rFonts w:hint="eastAsia" w:ascii="宋体" w:hAnsi="宋体" w:cs="宋体"/>
                <w:color w:val="auto"/>
                <w:kern w:val="0"/>
                <w:sz w:val="18"/>
                <w:szCs w:val="18"/>
                <w:highlight w:val="none"/>
                <w:lang w:eastAsia="zh-CN"/>
              </w:rPr>
              <w:t>分管</w:t>
            </w:r>
            <w:r>
              <w:rPr>
                <w:rFonts w:hint="eastAsia" w:ascii="宋体" w:hAnsi="宋体" w:cs="宋体"/>
                <w:color w:val="auto"/>
                <w:kern w:val="0"/>
                <w:sz w:val="18"/>
                <w:szCs w:val="18"/>
                <w:highlight w:val="none"/>
              </w:rPr>
              <w:t>风险管理部</w:t>
            </w:r>
            <w:r>
              <w:rPr>
                <w:rFonts w:hint="eastAsia" w:ascii="宋体" w:hAnsi="宋体" w:cs="宋体"/>
                <w:color w:val="auto"/>
                <w:kern w:val="0"/>
                <w:sz w:val="18"/>
                <w:szCs w:val="18"/>
                <w:highlight w:val="none"/>
                <w:lang w:eastAsia="zh-CN"/>
              </w:rPr>
              <w:t>，联系总行营业部</w:t>
            </w:r>
            <w:r>
              <w:rPr>
                <w:rFonts w:hint="eastAsia" w:ascii="宋体" w:hAnsi="宋体" w:cs="宋体"/>
                <w:color w:val="auto"/>
                <w:kern w:val="0"/>
                <w:sz w:val="18"/>
                <w:szCs w:val="18"/>
                <w:highlight w:val="none"/>
              </w:rPr>
              <w:t>。</w:t>
            </w:r>
          </w:p>
        </w:tc>
        <w:tc>
          <w:tcPr>
            <w:tcW w:w="992" w:type="dxa"/>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r>
    </w:tbl>
    <w:p>
      <w:pPr>
        <w:spacing w:line="560" w:lineRule="exact"/>
        <w:ind w:firstLine="600" w:firstLineChars="200"/>
        <w:rPr>
          <w:rFonts w:hint="eastAsia" w:ascii="黑体" w:hAnsi="黑体" w:eastAsia="黑体" w:cs="黑体"/>
          <w:color w:val="000000"/>
          <w:sz w:val="30"/>
          <w:szCs w:val="30"/>
          <w:shd w:val="clear" w:color="auto" w:fill="FFFFFF"/>
        </w:rPr>
      </w:pPr>
      <w:r>
        <w:rPr>
          <w:rFonts w:hint="eastAsia" w:ascii="黑体" w:hAnsi="黑体" w:eastAsia="黑体" w:cs="黑体"/>
          <w:color w:val="000000"/>
          <w:sz w:val="30"/>
          <w:szCs w:val="30"/>
          <w:shd w:val="clear" w:color="auto" w:fill="FFFFFF"/>
        </w:rPr>
        <w:t>五、董事、监事、高级管理人员薪酬情况</w:t>
      </w:r>
    </w:p>
    <w:p>
      <w:pPr>
        <w:spacing w:line="560" w:lineRule="exact"/>
        <w:ind w:firstLine="600" w:firstLineChars="200"/>
        <w:rPr>
          <w:rFonts w:hint="eastAsia" w:ascii="仿宋_GB2312" w:eastAsia="仿宋_GB2312"/>
          <w:color w:val="auto"/>
          <w:sz w:val="30"/>
          <w:szCs w:val="30"/>
          <w:highlight w:val="none"/>
          <w:shd w:val="clear" w:color="auto" w:fill="FFFFFF"/>
        </w:rPr>
      </w:pPr>
      <w:r>
        <w:rPr>
          <w:rFonts w:hint="eastAsia" w:ascii="仿宋_GB2312" w:eastAsia="仿宋_GB2312"/>
          <w:color w:val="auto"/>
          <w:sz w:val="30"/>
          <w:szCs w:val="30"/>
          <w:highlight w:val="none"/>
          <w:shd w:val="clear" w:color="auto" w:fill="FFFFFF"/>
        </w:rPr>
        <w:t>报告期内，在本行领取薪酬的执行董事、员工监事、高级管理人员共</w:t>
      </w:r>
      <w:r>
        <w:rPr>
          <w:rFonts w:hint="eastAsia" w:ascii="仿宋_GB2312" w:eastAsia="仿宋_GB2312"/>
          <w:color w:val="auto"/>
          <w:sz w:val="30"/>
          <w:szCs w:val="30"/>
          <w:highlight w:val="none"/>
          <w:shd w:val="clear" w:color="auto" w:fill="FFFFFF"/>
          <w:lang w:val="en-US" w:eastAsia="zh-CN"/>
        </w:rPr>
        <w:t>5</w:t>
      </w:r>
      <w:r>
        <w:rPr>
          <w:rFonts w:hint="eastAsia" w:ascii="仿宋_GB2312" w:eastAsia="仿宋_GB2312"/>
          <w:color w:val="auto"/>
          <w:sz w:val="30"/>
          <w:szCs w:val="30"/>
          <w:highlight w:val="none"/>
          <w:shd w:val="clear" w:color="auto" w:fill="FFFFFF"/>
        </w:rPr>
        <w:t>人，报告期内实际领取薪酬总额（</w:t>
      </w:r>
      <w:r>
        <w:rPr>
          <w:rFonts w:hint="eastAsia" w:ascii="仿宋_GB2312" w:eastAsia="仿宋_GB2312"/>
          <w:color w:val="auto"/>
          <w:sz w:val="30"/>
          <w:szCs w:val="30"/>
          <w:highlight w:val="none"/>
          <w:shd w:val="clear" w:color="auto" w:fill="FFFFFF"/>
          <w:lang w:eastAsia="zh-CN"/>
        </w:rPr>
        <w:t>税前</w:t>
      </w:r>
      <w:r>
        <w:rPr>
          <w:rFonts w:hint="eastAsia" w:ascii="仿宋_GB2312" w:eastAsia="仿宋_GB2312"/>
          <w:color w:val="auto"/>
          <w:sz w:val="30"/>
          <w:szCs w:val="30"/>
          <w:highlight w:val="none"/>
          <w:shd w:val="clear" w:color="auto" w:fill="FFFFFF"/>
        </w:rPr>
        <w:t>）为</w:t>
      </w:r>
      <w:r>
        <w:rPr>
          <w:rFonts w:hint="eastAsia" w:ascii="仿宋_GB2312" w:eastAsia="仿宋_GB2312"/>
          <w:color w:val="auto"/>
          <w:sz w:val="30"/>
          <w:szCs w:val="30"/>
          <w:highlight w:val="none"/>
          <w:shd w:val="clear" w:color="auto" w:fill="FFFFFF"/>
          <w:lang w:val="en-US" w:eastAsia="zh-CN"/>
        </w:rPr>
        <w:t>126</w:t>
      </w:r>
      <w:r>
        <w:rPr>
          <w:rFonts w:hint="eastAsia" w:ascii="仿宋_GB2312" w:eastAsia="仿宋_GB2312"/>
          <w:color w:val="auto"/>
          <w:sz w:val="30"/>
          <w:szCs w:val="30"/>
          <w:highlight w:val="none"/>
          <w:shd w:val="clear" w:color="auto" w:fill="FFFFFF"/>
        </w:rPr>
        <w:t>万元；</w:t>
      </w:r>
    </w:p>
    <w:p>
      <w:pPr>
        <w:spacing w:line="560" w:lineRule="exact"/>
        <w:ind w:firstLine="600" w:firstLineChars="200"/>
        <w:rPr>
          <w:rFonts w:hint="eastAsia" w:ascii="仿宋_GB2312" w:eastAsia="仿宋_GB2312"/>
          <w:color w:val="auto"/>
          <w:sz w:val="30"/>
          <w:szCs w:val="30"/>
          <w:highlight w:val="none"/>
          <w:shd w:val="clear" w:color="auto" w:fill="FFFFFF"/>
        </w:rPr>
      </w:pPr>
      <w:r>
        <w:rPr>
          <w:rFonts w:hint="eastAsia" w:ascii="仿宋_GB2312" w:eastAsia="仿宋_GB2312"/>
          <w:color w:val="auto"/>
          <w:sz w:val="30"/>
          <w:szCs w:val="30"/>
          <w:highlight w:val="none"/>
          <w:shd w:val="clear" w:color="auto" w:fill="FFFFFF"/>
        </w:rPr>
        <w:t>非员工股权董事及非员工股权监事报告期内实际领取津贴总额（</w:t>
      </w:r>
      <w:r>
        <w:rPr>
          <w:rFonts w:hint="eastAsia" w:ascii="仿宋_GB2312" w:eastAsia="仿宋_GB2312"/>
          <w:color w:val="auto"/>
          <w:sz w:val="30"/>
          <w:szCs w:val="30"/>
          <w:highlight w:val="none"/>
          <w:shd w:val="clear" w:color="auto" w:fill="FFFFFF"/>
          <w:lang w:eastAsia="zh-CN"/>
        </w:rPr>
        <w:t>税前</w:t>
      </w:r>
      <w:r>
        <w:rPr>
          <w:rFonts w:hint="eastAsia" w:ascii="仿宋_GB2312" w:eastAsia="仿宋_GB2312"/>
          <w:color w:val="auto"/>
          <w:sz w:val="30"/>
          <w:szCs w:val="30"/>
          <w:highlight w:val="none"/>
          <w:shd w:val="clear" w:color="auto" w:fill="FFFFFF"/>
        </w:rPr>
        <w:t>）为</w:t>
      </w:r>
      <w:r>
        <w:rPr>
          <w:rFonts w:hint="eastAsia" w:ascii="仿宋_GB2312" w:eastAsia="仿宋_GB2312"/>
          <w:color w:val="auto"/>
          <w:sz w:val="30"/>
          <w:szCs w:val="30"/>
          <w:highlight w:val="none"/>
          <w:shd w:val="clear" w:color="auto" w:fill="FFFFFF"/>
          <w:lang w:val="en-US" w:eastAsia="zh-CN"/>
        </w:rPr>
        <w:t>5600</w:t>
      </w:r>
      <w:r>
        <w:rPr>
          <w:rFonts w:hint="eastAsia" w:ascii="仿宋_GB2312" w:eastAsia="仿宋_GB2312"/>
          <w:color w:val="auto"/>
          <w:sz w:val="30"/>
          <w:szCs w:val="30"/>
          <w:highlight w:val="none"/>
          <w:shd w:val="clear" w:color="auto" w:fill="FFFFFF"/>
        </w:rPr>
        <w:t>元。</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hint="eastAsia" w:ascii="楷体" w:hAnsi="楷体" w:eastAsia="楷体" w:cs="Tahoma"/>
          <w:b/>
          <w:color w:val="auto"/>
          <w:kern w:val="0"/>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cs="宋体"/>
          <w:color w:val="auto"/>
          <w:kern w:val="0"/>
          <w:sz w:val="30"/>
          <w:szCs w:val="30"/>
          <w:highlight w:val="none"/>
        </w:rPr>
      </w:pPr>
      <w:r>
        <w:rPr>
          <w:rFonts w:hint="eastAsia" w:ascii="黑体" w:hAnsi="黑体" w:eastAsia="黑体" w:cs="Tahoma"/>
          <w:color w:val="auto"/>
          <w:kern w:val="0"/>
          <w:sz w:val="30"/>
          <w:szCs w:val="30"/>
          <w:highlight w:val="none"/>
        </w:rPr>
        <w:t>第</w:t>
      </w:r>
      <w:r>
        <w:rPr>
          <w:rFonts w:hint="eastAsia" w:ascii="黑体" w:hAnsi="黑体" w:eastAsia="黑体" w:cs="Tahoma"/>
          <w:color w:val="auto"/>
          <w:kern w:val="0"/>
          <w:sz w:val="30"/>
          <w:szCs w:val="30"/>
          <w:highlight w:val="none"/>
          <w:lang w:eastAsia="zh-CN"/>
        </w:rPr>
        <w:t>七</w:t>
      </w:r>
      <w:r>
        <w:rPr>
          <w:rFonts w:hint="eastAsia" w:ascii="黑体" w:hAnsi="黑体" w:eastAsia="黑体" w:cs="Tahoma"/>
          <w:color w:val="auto"/>
          <w:kern w:val="0"/>
          <w:sz w:val="30"/>
          <w:szCs w:val="30"/>
          <w:highlight w:val="none"/>
        </w:rPr>
        <w:t>章　</w:t>
      </w:r>
      <w:r>
        <w:rPr>
          <w:rFonts w:hint="eastAsia" w:ascii="黑体" w:hAnsi="黑体" w:eastAsia="黑体" w:cs="宋体"/>
          <w:color w:val="auto"/>
          <w:kern w:val="0"/>
          <w:sz w:val="30"/>
          <w:szCs w:val="30"/>
          <w:highlight w:val="none"/>
        </w:rPr>
        <w:t>重大事项</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hint="eastAsia"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一、重要诉讼、仲裁事项和重大案件情况</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 w:eastAsia="仿宋_GB2312" w:cs="Tahoma"/>
          <w:color w:val="auto"/>
          <w:kern w:val="0"/>
          <w:sz w:val="30"/>
          <w:szCs w:val="30"/>
          <w:highlight w:val="none"/>
        </w:rPr>
      </w:pPr>
      <w:r>
        <w:rPr>
          <w:rFonts w:ascii="仿宋_GB2312" w:hAnsi="??" w:eastAsia="仿宋_GB2312" w:cs="Tahoma"/>
          <w:color w:val="auto"/>
          <w:kern w:val="0"/>
          <w:sz w:val="30"/>
          <w:szCs w:val="30"/>
          <w:highlight w:val="none"/>
        </w:rPr>
        <w:t>201</w:t>
      </w:r>
      <w:r>
        <w:rPr>
          <w:rFonts w:hint="eastAsia" w:ascii="仿宋_GB2312" w:hAnsi="??" w:eastAsia="仿宋_GB2312" w:cs="Tahoma"/>
          <w:color w:val="auto"/>
          <w:kern w:val="0"/>
          <w:sz w:val="30"/>
          <w:szCs w:val="30"/>
          <w:highlight w:val="none"/>
          <w:lang w:val="en-US" w:eastAsia="zh-CN"/>
        </w:rPr>
        <w:t>9</w:t>
      </w:r>
      <w:r>
        <w:rPr>
          <w:rFonts w:hint="eastAsia" w:ascii="仿宋_GB2312" w:hAnsi="??" w:eastAsia="仿宋_GB2312" w:cs="Tahoma"/>
          <w:color w:val="auto"/>
          <w:kern w:val="0"/>
          <w:sz w:val="30"/>
          <w:szCs w:val="30"/>
          <w:highlight w:val="none"/>
        </w:rPr>
        <w:t>年，本行没有对经营产生重大影响的诉讼、仲裁事项，未发生重大经济案件。</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二、</w:t>
      </w:r>
      <w:r>
        <w:rPr>
          <w:rFonts w:ascii="仿宋_GB2312" w:hAnsi="??" w:eastAsia="仿宋_GB2312" w:cs="Tahoma"/>
          <w:color w:val="auto"/>
          <w:kern w:val="0"/>
          <w:sz w:val="30"/>
          <w:szCs w:val="30"/>
          <w:highlight w:val="none"/>
        </w:rPr>
        <w:t>201</w:t>
      </w:r>
      <w:r>
        <w:rPr>
          <w:rFonts w:hint="eastAsia" w:ascii="仿宋_GB2312" w:hAnsi="??" w:eastAsia="仿宋_GB2312" w:cs="Tahoma"/>
          <w:color w:val="auto"/>
          <w:kern w:val="0"/>
          <w:sz w:val="30"/>
          <w:szCs w:val="30"/>
          <w:highlight w:val="none"/>
          <w:lang w:val="en-US" w:eastAsia="zh-CN"/>
        </w:rPr>
        <w:t>9</w:t>
      </w:r>
      <w:r>
        <w:rPr>
          <w:rFonts w:hint="eastAsia" w:ascii="仿宋_GB2312" w:hAnsi="??" w:eastAsia="仿宋_GB2312" w:cs="Tahoma"/>
          <w:color w:val="auto"/>
          <w:kern w:val="0"/>
          <w:sz w:val="30"/>
          <w:szCs w:val="30"/>
          <w:highlight w:val="none"/>
        </w:rPr>
        <w:t>年，本行无收购、合并及出售重大资产事项。</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三、</w:t>
      </w:r>
      <w:r>
        <w:rPr>
          <w:rFonts w:ascii="仿宋_GB2312" w:hAnsi="??" w:eastAsia="仿宋_GB2312" w:cs="Tahoma"/>
          <w:color w:val="auto"/>
          <w:kern w:val="0"/>
          <w:sz w:val="30"/>
          <w:szCs w:val="30"/>
          <w:highlight w:val="none"/>
        </w:rPr>
        <w:t>201</w:t>
      </w:r>
      <w:r>
        <w:rPr>
          <w:rFonts w:hint="eastAsia" w:ascii="仿宋_GB2312" w:hAnsi="??" w:eastAsia="仿宋_GB2312" w:cs="Tahoma"/>
          <w:color w:val="auto"/>
          <w:kern w:val="0"/>
          <w:sz w:val="30"/>
          <w:szCs w:val="30"/>
          <w:highlight w:val="none"/>
          <w:lang w:val="en-US" w:eastAsia="zh-CN"/>
        </w:rPr>
        <w:t>9</w:t>
      </w:r>
      <w:r>
        <w:rPr>
          <w:rFonts w:hint="eastAsia" w:ascii="仿宋_GB2312" w:hAnsi="??" w:eastAsia="仿宋_GB2312" w:cs="Tahoma"/>
          <w:color w:val="auto"/>
          <w:kern w:val="0"/>
          <w:sz w:val="30"/>
          <w:szCs w:val="30"/>
          <w:highlight w:val="none"/>
        </w:rPr>
        <w:t>年，本行董事会及董事、监事会及监事、高级管理人员无受监管部门处罚情况发生。</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 w:eastAsia="仿宋_GB2312" w:cs="Tahoma"/>
          <w:color w:val="auto"/>
          <w:kern w:val="0"/>
          <w:sz w:val="30"/>
          <w:szCs w:val="30"/>
          <w:highlight w:val="none"/>
        </w:rPr>
      </w:pPr>
      <w:r>
        <w:rPr>
          <w:rFonts w:hint="eastAsia" w:ascii="仿宋_GB2312" w:hAnsi="??" w:eastAsia="仿宋_GB2312" w:cs="Tahoma"/>
          <w:color w:val="auto"/>
          <w:kern w:val="0"/>
          <w:sz w:val="30"/>
          <w:szCs w:val="30"/>
          <w:highlight w:val="none"/>
        </w:rPr>
        <w:t>四、</w:t>
      </w:r>
      <w:r>
        <w:rPr>
          <w:rFonts w:ascii="仿宋_GB2312" w:hAnsi="??" w:eastAsia="仿宋_GB2312" w:cs="Tahoma"/>
          <w:color w:val="auto"/>
          <w:kern w:val="0"/>
          <w:sz w:val="30"/>
          <w:szCs w:val="30"/>
          <w:highlight w:val="none"/>
        </w:rPr>
        <w:t>201</w:t>
      </w:r>
      <w:r>
        <w:rPr>
          <w:rFonts w:hint="eastAsia" w:ascii="仿宋_GB2312" w:hAnsi="??" w:eastAsia="仿宋_GB2312" w:cs="Tahoma"/>
          <w:color w:val="auto"/>
          <w:kern w:val="0"/>
          <w:sz w:val="30"/>
          <w:szCs w:val="30"/>
          <w:highlight w:val="none"/>
          <w:lang w:val="en-US" w:eastAsia="zh-CN"/>
        </w:rPr>
        <w:t>9</w:t>
      </w:r>
      <w:r>
        <w:rPr>
          <w:rFonts w:hint="eastAsia" w:ascii="仿宋_GB2312" w:hAnsi="??" w:eastAsia="仿宋_GB2312" w:cs="Tahoma"/>
          <w:color w:val="auto"/>
          <w:kern w:val="0"/>
          <w:sz w:val="30"/>
          <w:szCs w:val="30"/>
          <w:highlight w:val="none"/>
        </w:rPr>
        <w:t>年，本行名称没有变更。</w:t>
      </w: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ˎ̥" w:eastAsia="仿宋_GB2312" w:cs="Tahoma"/>
          <w:color w:val="auto"/>
          <w:kern w:val="0"/>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70"/>
        <w:textAlignment w:val="auto"/>
        <w:outlineLvl w:val="9"/>
        <w:rPr>
          <w:rFonts w:ascii="仿宋_GB2312" w:hAnsi="ˎ̥" w:eastAsia="仿宋_GB2312" w:cs="Tahoma"/>
          <w:color w:val="auto"/>
          <w:kern w:val="0"/>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color w:val="auto"/>
          <w:sz w:val="30"/>
          <w:szCs w:val="30"/>
          <w:highlight w:val="none"/>
        </w:rPr>
      </w:pPr>
      <w:r>
        <w:rPr>
          <w:rFonts w:hint="eastAsia"/>
          <w:color w:val="auto"/>
          <w:kern w:val="0"/>
          <w:sz w:val="30"/>
          <w:szCs w:val="30"/>
          <w:highlight w:val="none"/>
        </w:rPr>
        <w:t xml:space="preserve">　　　　　　　　　　　　　　  </w:t>
      </w:r>
      <w:r>
        <w:rPr>
          <w:rFonts w:hint="eastAsia" w:ascii="仿宋_GB2312" w:hAnsi="??" w:eastAsia="仿宋_GB2312" w:cs="Tahoma"/>
          <w:color w:val="auto"/>
          <w:kern w:val="0"/>
          <w:sz w:val="30"/>
          <w:szCs w:val="30"/>
          <w:highlight w:val="none"/>
        </w:rPr>
        <w:t>二</w:t>
      </w:r>
      <w:r>
        <w:rPr>
          <w:rFonts w:hint="eastAsia" w:ascii="宋体" w:hAnsi="宋体" w:cs="宋体"/>
          <w:color w:val="auto"/>
          <w:kern w:val="0"/>
          <w:sz w:val="30"/>
          <w:szCs w:val="30"/>
          <w:highlight w:val="none"/>
        </w:rPr>
        <w:t>〇</w:t>
      </w:r>
      <w:r>
        <w:rPr>
          <w:rFonts w:hint="eastAsia" w:ascii="仿宋_GB2312" w:hAnsi="??" w:eastAsia="仿宋_GB2312" w:cs="Tahoma"/>
          <w:color w:val="auto"/>
          <w:kern w:val="0"/>
          <w:sz w:val="30"/>
          <w:szCs w:val="30"/>
          <w:highlight w:val="none"/>
        </w:rPr>
        <w:t>二</w:t>
      </w:r>
      <w:r>
        <w:rPr>
          <w:rFonts w:hint="eastAsia" w:ascii="宋体" w:hAnsi="宋体" w:cs="宋体"/>
          <w:color w:val="auto"/>
          <w:kern w:val="0"/>
          <w:sz w:val="30"/>
          <w:szCs w:val="30"/>
          <w:highlight w:val="none"/>
        </w:rPr>
        <w:t>〇</w:t>
      </w:r>
      <w:r>
        <w:rPr>
          <w:rFonts w:hint="eastAsia" w:ascii="仿宋_GB2312" w:hAnsi="仿宋_GB2312" w:eastAsia="仿宋_GB2312" w:cs="仿宋_GB2312"/>
          <w:color w:val="auto"/>
          <w:kern w:val="0"/>
          <w:sz w:val="30"/>
          <w:szCs w:val="30"/>
          <w:highlight w:val="none"/>
        </w:rPr>
        <w:t>年</w:t>
      </w:r>
      <w:r>
        <w:rPr>
          <w:rFonts w:hint="eastAsia" w:ascii="仿宋_GB2312" w:hAnsi="仿宋_GB2312" w:eastAsia="仿宋_GB2312" w:cs="仿宋_GB2312"/>
          <w:color w:val="auto"/>
          <w:kern w:val="0"/>
          <w:sz w:val="30"/>
          <w:szCs w:val="30"/>
          <w:highlight w:val="none"/>
          <w:lang w:eastAsia="zh-CN"/>
        </w:rPr>
        <w:t>五</w:t>
      </w:r>
      <w:r>
        <w:rPr>
          <w:rFonts w:hint="eastAsia" w:ascii="仿宋_GB2312" w:hAnsi="仿宋_GB2312" w:eastAsia="仿宋_GB2312" w:cs="仿宋_GB2312"/>
          <w:color w:val="auto"/>
          <w:kern w:val="0"/>
          <w:sz w:val="30"/>
          <w:szCs w:val="30"/>
          <w:highlight w:val="none"/>
        </w:rPr>
        <w:t>月</w:t>
      </w:r>
      <w:r>
        <w:rPr>
          <w:rFonts w:hint="eastAsia" w:ascii="仿宋_GB2312" w:hAnsi="仿宋_GB2312" w:eastAsia="仿宋_GB2312" w:cs="仿宋_GB2312"/>
          <w:color w:val="auto"/>
          <w:kern w:val="0"/>
          <w:sz w:val="30"/>
          <w:szCs w:val="30"/>
          <w:highlight w:val="none"/>
          <w:lang w:eastAsia="zh-CN"/>
        </w:rPr>
        <w:t>十三</w:t>
      </w:r>
      <w:r>
        <w:rPr>
          <w:rFonts w:hint="eastAsia" w:ascii="仿宋_GB2312" w:hAnsi="??" w:eastAsia="仿宋_GB2312" w:cs="Tahoma"/>
          <w:color w:val="auto"/>
          <w:kern w:val="0"/>
          <w:sz w:val="30"/>
          <w:szCs w:val="30"/>
          <w:highlight w:val="none"/>
        </w:rPr>
        <w:t>日</w:t>
      </w:r>
    </w:p>
    <w:p>
      <w:pPr>
        <w:keepNext w:val="0"/>
        <w:keepLines w:val="0"/>
        <w:pageBreakBefore w:val="0"/>
        <w:widowControl w:val="0"/>
        <w:kinsoku/>
        <w:wordWrap/>
        <w:overflowPunct/>
        <w:topLinePunct w:val="0"/>
        <w:autoSpaceDE/>
        <w:autoSpaceDN/>
        <w:bidi w:val="0"/>
        <w:adjustRightInd/>
        <w:spacing w:line="540" w:lineRule="exact"/>
        <w:textAlignment w:val="auto"/>
        <w:rPr>
          <w:rFonts w:hint="eastAsia"/>
          <w:lang w:val="en-US" w:eastAsia="zh-CN"/>
        </w:rPr>
      </w:pPr>
    </w:p>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703B"/>
    <w:multiLevelType w:val="singleLevel"/>
    <w:tmpl w:val="5343703B"/>
    <w:lvl w:ilvl="0" w:tentative="0">
      <w:start w:val="1"/>
      <w:numFmt w:val="chineseCountingThousand"/>
      <w:lvlText w:val="(%1)"/>
      <w:lvlJc w:val="left"/>
      <w:pPr>
        <w:ind w:left="1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C71A2"/>
    <w:rsid w:val="1C246B20"/>
    <w:rsid w:val="25BB1CD8"/>
    <w:rsid w:val="270A3E71"/>
    <w:rsid w:val="2A80093D"/>
    <w:rsid w:val="32EC71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5">
    <w:name w:val="font01"/>
    <w:qFormat/>
    <w:uiPriority w:val="0"/>
    <w:rPr>
      <w:rFonts w:hint="default" w:ascii="Times New Roman" w:hAnsi="Times New Roman" w:cs="Times New Roman"/>
      <w:color w:val="008000"/>
      <w:sz w:val="21"/>
      <w:szCs w:val="21"/>
      <w:u w:val="none"/>
    </w:rPr>
  </w:style>
  <w:style w:type="character" w:customStyle="1" w:styleId="6">
    <w:name w:val="font21"/>
    <w:qFormat/>
    <w:uiPriority w:val="0"/>
    <w:rPr>
      <w:rFonts w:hint="eastAsia" w:ascii="宋体" w:hAnsi="宋体" w:eastAsia="宋体" w:cs="宋体"/>
      <w:color w:val="008000"/>
      <w:sz w:val="20"/>
      <w:szCs w:val="20"/>
      <w:u w:val="none"/>
    </w:rPr>
  </w:style>
  <w:style w:type="character" w:customStyle="1" w:styleId="7">
    <w:name w:val="font11"/>
    <w:qFormat/>
    <w:uiPriority w:val="0"/>
    <w:rPr>
      <w:rFonts w:hint="default" w:ascii="Times New Roman" w:hAnsi="Times New Roman" w:cs="Times New Roman"/>
      <w:color w:val="008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2020-05-25T07:27:00Z</dcterms:created>
  <dc:creator>史笑笑(6430086)</dc:creator>
  <cp:lastModifiedBy>史笑笑(6430086)</cp:lastModifiedBy>
  <dcterms:modified xsi:type="dcterms:W3CDTF">2020-05-25T07:55:42Z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